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6533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美 术 学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院</w:t>
      </w:r>
    </w:p>
    <w:p w14:paraId="0FF5F5B9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2024级美术教育专业转入专业测试说明</w:t>
      </w:r>
    </w:p>
    <w:p w14:paraId="23C142C7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tbl>
      <w:tblPr>
        <w:tblStyle w:val="2"/>
        <w:tblW w:w="86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1"/>
        <w:gridCol w:w="3354"/>
        <w:gridCol w:w="2821"/>
      </w:tblGrid>
      <w:tr w14:paraId="6D078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7" w:hRule="atLeast"/>
        </w:trPr>
        <w:tc>
          <w:tcPr>
            <w:tcW w:w="245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083D04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top"/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测试项目</w:t>
            </w:r>
          </w:p>
          <w:p w14:paraId="5BC29AE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top"/>
              <w:rPr>
                <w:rFonts w:hint="eastAsia" w:ascii="Times New Roman" w:hAnsi="Times New Roman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（总分100分）</w:t>
            </w:r>
          </w:p>
        </w:tc>
        <w:tc>
          <w:tcPr>
            <w:tcW w:w="3354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11EF6E8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top"/>
              <w:rPr>
                <w:rFonts w:hint="eastAsia" w:ascii="Times New Roman" w:hAnsi="Times New Roman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测试形式</w:t>
            </w:r>
          </w:p>
        </w:tc>
        <w:tc>
          <w:tcPr>
            <w:tcW w:w="282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6A06DA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textAlignment w:val="top"/>
              <w:rPr>
                <w:rFonts w:hint="eastAsia" w:ascii="Times New Roman" w:hAnsi="Times New Roman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测试标准</w:t>
            </w:r>
          </w:p>
        </w:tc>
      </w:tr>
      <w:tr w14:paraId="2806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245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07DD1CB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一、速写测试（40分）</w:t>
            </w:r>
          </w:p>
        </w:tc>
        <w:tc>
          <w:tcPr>
            <w:tcW w:w="3354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172DF9D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  <w:t>依据提供的照片完成一张完整的人物速写。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用铅笔、碳笔、钢笔等工具，在 8k 纸上以站姿完成人物速写，时长 30 分钟。</w:t>
            </w:r>
          </w:p>
        </w:tc>
        <w:tc>
          <w:tcPr>
            <w:tcW w:w="282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30C539A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构图完整，比例准确，刻画生动。</w:t>
            </w:r>
          </w:p>
        </w:tc>
      </w:tr>
      <w:tr w14:paraId="4A397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245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7ACF46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二、普通话测试（30分）</w:t>
            </w:r>
          </w:p>
        </w:tc>
        <w:tc>
          <w:tcPr>
            <w:tcW w:w="3354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5A4E73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以《选一幅你熟悉的大师作品进行作品赏析》为题进行阐述，时长 5 分钟，现场打分。</w:t>
            </w:r>
          </w:p>
        </w:tc>
        <w:tc>
          <w:tcPr>
            <w:tcW w:w="282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6A78761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作品与作者信息无错误，赏析重点体现大师艺术成就与特点，能结合自身知识准确表达感受，语言</w:t>
            </w:r>
            <w:bookmarkStart w:id="0" w:name="_GoBack"/>
            <w:bookmarkEnd w:id="0"/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条理清晰，发音正确，符合小学教师普通话基本要求。</w:t>
            </w:r>
          </w:p>
        </w:tc>
      </w:tr>
      <w:tr w14:paraId="55646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0" w:hRule="atLeast"/>
        </w:trPr>
        <w:tc>
          <w:tcPr>
            <w:tcW w:w="245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33E5C7E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三、毛笔字和粉笔字测试（30分）</w:t>
            </w:r>
          </w:p>
        </w:tc>
        <w:tc>
          <w:tcPr>
            <w:tcW w:w="3354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7FDFEC3E">
            <w:pPr>
              <w:tabs>
                <w:tab w:val="left" w:pos="312"/>
              </w:tabs>
              <w:jc w:val="both"/>
              <w:textAlignment w:val="baseline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分别用毛笔和粉笔书写王维《鸟鸣涧》全诗：</w:t>
            </w:r>
            <w:r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  <w:t>人闲桂花落，夜静春山空。月出惊飞鸟，时鸣春涧中。</w:t>
            </w:r>
          </w:p>
          <w:p w14:paraId="73013FED">
            <w:pPr>
              <w:tabs>
                <w:tab w:val="left" w:pos="312"/>
              </w:tabs>
              <w:jc w:val="both"/>
              <w:textAlignment w:val="baseline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  <w:t>（粉笔字10分钟，毛笔字20分钟，共30分钟）</w:t>
            </w:r>
          </w:p>
          <w:p w14:paraId="403AE2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tcMar>
              <w:top w:w="180" w:type="dxa"/>
              <w:left w:w="160" w:type="dxa"/>
              <w:bottom w:w="180" w:type="dxa"/>
              <w:right w:w="160" w:type="dxa"/>
            </w:tcMar>
            <w:vAlign w:val="center"/>
          </w:tcPr>
          <w:p w14:paraId="74EDA3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textAlignment w:val="top"/>
              <w:rPr>
                <w:rFonts w:hint="eastAsia" w:ascii="Times New Roman" w:hAnsi="Times New Roman" w:eastAsiaTheme="minorEastAsia" w:cstheme="minorEastAsia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  <w:lang w:val="en-US" w:eastAsia="zh-CN" w:bidi="ar"/>
              </w:rPr>
              <w:t>粉笔字板书设计合理，书写规范；毛笔字字体自选，按提供纸张叠格书写，只写诗句 20 字，不写诗名。</w:t>
            </w:r>
          </w:p>
        </w:tc>
      </w:tr>
    </w:tbl>
    <w:p w14:paraId="7CDE8001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5E8B9675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1A95840F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097A5197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418AAFE2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4CF84B4E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7EB494F1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66206149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3B90DF07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40EEEB4B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035BF8F0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2E603B05">
      <w:pPr>
        <w:textAlignment w:val="baseline"/>
        <w:rPr>
          <w:rFonts w:hint="eastAsia" w:asciiTheme="minorEastAsia" w:hAnsiTheme="minorEastAsia" w:cstheme="minorEastAsia"/>
          <w:sz w:val="24"/>
        </w:rPr>
      </w:pPr>
    </w:p>
    <w:p w14:paraId="0ABF1C5D">
      <w:pPr>
        <w:textAlignment w:val="baseline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附：速写测试照片</w:t>
      </w:r>
    </w:p>
    <w:p w14:paraId="4EB39287">
      <w:r>
        <w:drawing>
          <wp:inline distT="0" distB="0" distL="0" distR="0">
            <wp:extent cx="4902200" cy="6539865"/>
            <wp:effectExtent l="0" t="0" r="0" b="13335"/>
            <wp:docPr id="321802305" name="图片 1" descr="/private/var/folders/2j/dw_mqjcs4g16gkqs37xypbvw0000gn/T/com.kingsoft.wpsoffice.mac/photoedit2/20250114183644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802305" name="图片 1" descr="/private/var/folders/2j/dw_mqjcs4g16gkqs37xypbvw0000gn/T/com.kingsoft.wpsoffice.mac/photoedit2/20250114183644/temp.pngte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02200" cy="653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BF44"/>
    <w:rsid w:val="46702731"/>
    <w:rsid w:val="7FFFBF44"/>
    <w:rsid w:val="F7B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372</Characters>
  <Lines>0</Lines>
  <Paragraphs>0</Paragraphs>
  <TotalTime>8</TotalTime>
  <ScaleCrop>false</ScaleCrop>
  <LinksUpToDate>false</LinksUpToDate>
  <CharactersWithSpaces>387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2025-01-14T18:33:00Z</dcterms:created>
  <dc:creator>WPS_1322468930</dc:creator>
  <cp:lastModifiedBy>谢晗</cp:lastModifiedBy>
  <dcterms:modified xsi:type="dcterms:W3CDTF">2025-01-16T08:20:48Z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FAEA6010EF648D4C653D8667DFE3F0AE_41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