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附件2</w:t>
      </w:r>
    </w:p>
    <w:tbl>
      <w:tblPr>
        <w:tblStyle w:val="7"/>
        <w:tblW w:w="927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02"/>
        <w:gridCol w:w="1694"/>
        <w:gridCol w:w="1694"/>
        <w:gridCol w:w="1269"/>
        <w:gridCol w:w="21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0" w:hRule="atLeast"/>
          <w:jc w:val="center"/>
        </w:trPr>
        <w:tc>
          <w:tcPr>
            <w:tcW w:w="2502" w:type="dxa"/>
            <w:tcBorders>
              <w:top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登记号</w:t>
            </w:r>
          </w:p>
        </w:tc>
        <w:tc>
          <w:tcPr>
            <w:tcW w:w="169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1694" w:type="dxa"/>
            <w:tcBorders>
              <w:top w:val="nil"/>
              <w:left w:val="single" w:color="auto" w:sz="4" w:space="0"/>
              <w:bottom w:val="nil"/>
              <w:right w:val="single" w:color="auto" w:sz="4" w:space="0"/>
            </w:tcBorders>
            <w:vAlign w:val="center"/>
          </w:tcPr>
          <w:p>
            <w:pPr>
              <w:spacing w:line="560" w:lineRule="exact"/>
              <w:jc w:val="center"/>
              <w:rPr>
                <w:sz w:val="24"/>
                <w:szCs w:val="24"/>
              </w:rPr>
            </w:pPr>
          </w:p>
        </w:tc>
        <w:tc>
          <w:tcPr>
            <w:tcW w:w="12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项目序号</w:t>
            </w:r>
          </w:p>
        </w:tc>
        <w:tc>
          <w:tcPr>
            <w:tcW w:w="2120" w:type="dxa"/>
            <w:tcBorders>
              <w:top w:val="single" w:color="auto" w:sz="4" w:space="0"/>
              <w:left w:val="single" w:color="auto" w:sz="4" w:space="0"/>
              <w:bottom w:val="single" w:color="auto" w:sz="4" w:space="0"/>
            </w:tcBorders>
            <w:vAlign w:val="center"/>
          </w:tcPr>
          <w:p>
            <w:pPr>
              <w:spacing w:line="560" w:lineRule="exact"/>
              <w:jc w:val="center"/>
            </w:pPr>
          </w:p>
        </w:tc>
      </w:tr>
    </w:tbl>
    <w:p>
      <w:pPr>
        <w:spacing w:line="560" w:lineRule="exact"/>
      </w:pPr>
    </w:p>
    <w:p>
      <w:pPr>
        <w:spacing w:line="560" w:lineRule="exact"/>
      </w:pPr>
    </w:p>
    <w:p>
      <w:pPr>
        <w:spacing w:line="560" w:lineRule="exact"/>
      </w:pPr>
    </w:p>
    <w:p>
      <w:pPr>
        <w:jc w:val="center"/>
        <w:rPr>
          <w:rFonts w:eastAsia="黑体"/>
          <w:sz w:val="44"/>
          <w:szCs w:val="44"/>
        </w:rPr>
      </w:pPr>
      <w:r>
        <w:rPr>
          <w:rFonts w:eastAsia="黑体"/>
          <w:sz w:val="44"/>
          <w:szCs w:val="44"/>
        </w:rPr>
        <w:t>连云港市社会科学基金项目</w:t>
      </w:r>
    </w:p>
    <w:p/>
    <w:p>
      <w:pPr>
        <w:jc w:val="center"/>
        <w:rPr>
          <w:rFonts w:eastAsia="黑体"/>
          <w:sz w:val="84"/>
          <w:szCs w:val="84"/>
        </w:rPr>
      </w:pPr>
      <w:r>
        <w:rPr>
          <w:rFonts w:eastAsia="黑体"/>
          <w:sz w:val="84"/>
          <w:szCs w:val="84"/>
        </w:rPr>
        <w:t>申请书</w:t>
      </w:r>
    </w:p>
    <w:p>
      <w:pPr>
        <w:spacing w:line="560" w:lineRule="exact"/>
      </w:pPr>
    </w:p>
    <w:p>
      <w:pPr>
        <w:spacing w:line="560" w:lineRule="exact"/>
      </w:pPr>
    </w:p>
    <w:p>
      <w:pPr>
        <w:spacing w:line="600" w:lineRule="auto"/>
        <w:ind w:firstLine="560"/>
        <w:rPr>
          <w:rFonts w:eastAsia="仿宋_GB2312"/>
          <w:sz w:val="28"/>
          <w:szCs w:val="28"/>
        </w:rPr>
      </w:pPr>
      <w:r>
        <w:rPr>
          <w:rFonts w:eastAsia="仿宋_GB2312"/>
          <w:sz w:val="28"/>
          <w:szCs w:val="28"/>
        </w:rPr>
        <w:t>项目类别</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eastAsia="仿宋_GB2312"/>
          <w:sz w:val="28"/>
          <w:szCs w:val="28"/>
        </w:rPr>
        <w:t>自筹经费项目</w:t>
      </w:r>
    </w:p>
    <w:p>
      <w:pPr>
        <w:spacing w:line="600" w:lineRule="auto"/>
        <w:ind w:firstLine="560"/>
        <w:rPr>
          <w:rFonts w:eastAsia="仿宋_GB2312"/>
          <w:sz w:val="28"/>
          <w:szCs w:val="28"/>
        </w:rPr>
      </w:pPr>
      <w:r>
        <w:rPr>
          <w:rFonts w:eastAsia="仿宋_GB2312"/>
          <w:sz w:val="28"/>
          <w:szCs w:val="28"/>
        </w:rPr>
        <w:t>学科分类</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eastAsia="仿宋_GB2312"/>
          <w:sz w:val="28"/>
          <w:szCs w:val="28"/>
        </w:rPr>
        <w:t>教育学</w:t>
      </w:r>
    </w:p>
    <w:p>
      <w:pPr>
        <w:spacing w:line="600" w:lineRule="auto"/>
        <w:ind w:firstLine="560"/>
        <w:rPr>
          <w:rFonts w:eastAsia="仿宋_GB2312"/>
          <w:sz w:val="28"/>
          <w:szCs w:val="28"/>
        </w:rPr>
      </w:pPr>
      <w:r>
        <w:rPr>
          <w:rFonts w:eastAsia="仿宋_GB2312"/>
          <w:sz w:val="28"/>
          <w:szCs w:val="28"/>
        </w:rPr>
        <w:t>课题名称</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ascii="仿宋" w:hAnsi="仿宋" w:eastAsia="仿宋"/>
          <w:sz w:val="28"/>
          <w:szCs w:val="28"/>
        </w:rPr>
        <w:t>疫情防控背景下高职院校线上教学改革研究</w:t>
      </w:r>
    </w:p>
    <w:p>
      <w:pPr>
        <w:spacing w:line="600" w:lineRule="auto"/>
        <w:ind w:firstLine="560"/>
        <w:rPr>
          <w:rFonts w:eastAsia="仿宋_GB2312"/>
          <w:sz w:val="28"/>
          <w:szCs w:val="28"/>
        </w:rPr>
      </w:pPr>
      <w:r>
        <w:rPr>
          <w:rFonts w:eastAsia="仿宋_GB2312"/>
          <w:sz w:val="28"/>
          <w:szCs w:val="28"/>
        </w:rPr>
        <w:t>课题负责人</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eastAsia="仿宋_GB2312"/>
          <w:sz w:val="28"/>
          <w:szCs w:val="28"/>
        </w:rPr>
        <w:t>马舒婷</w:t>
      </w:r>
    </w:p>
    <w:p>
      <w:pPr>
        <w:spacing w:line="600" w:lineRule="auto"/>
        <w:ind w:firstLine="560"/>
        <w:rPr>
          <w:rFonts w:eastAsia="仿宋_GB2312"/>
          <w:sz w:val="28"/>
          <w:szCs w:val="28"/>
        </w:rPr>
      </w:pPr>
      <w:r>
        <w:rPr>
          <w:rFonts w:eastAsia="仿宋_GB2312"/>
          <w:sz w:val="28"/>
          <w:szCs w:val="28"/>
        </w:rPr>
        <w:t>负责人所在单位</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eastAsia="仿宋_GB2312"/>
          <w:sz w:val="28"/>
          <w:szCs w:val="28"/>
        </w:rPr>
        <w:t>连云港师范高等专科学校</w:t>
      </w:r>
    </w:p>
    <w:p>
      <w:pPr>
        <w:spacing w:line="600" w:lineRule="auto"/>
        <w:ind w:firstLine="560"/>
        <w:rPr>
          <w:rFonts w:eastAsia="仿宋_GB2312"/>
          <w:sz w:val="28"/>
          <w:szCs w:val="28"/>
        </w:rPr>
      </w:pPr>
      <w:r>
        <w:rPr>
          <w:rFonts w:eastAsia="仿宋_GB2312"/>
          <w:sz w:val="28"/>
          <w:szCs w:val="28"/>
        </w:rPr>
        <w:t>填表日期</w:t>
      </w:r>
      <w:r>
        <w:rPr>
          <w:rFonts w:hint="eastAsia" w:eastAsia="仿宋_GB2312"/>
          <w:sz w:val="28"/>
          <w:szCs w:val="28"/>
        </w:rPr>
        <w:t xml:space="preserve">  </w:t>
      </w:r>
      <w:r>
        <w:rPr>
          <w:rFonts w:hint="eastAsia" w:eastAsia="仿宋_GB2312"/>
          <w:sz w:val="28"/>
          <w:szCs w:val="28"/>
          <w:lang w:val="en-US" w:eastAsia="zh-CN"/>
        </w:rPr>
        <w:t xml:space="preserve">              </w:t>
      </w:r>
      <w:r>
        <w:rPr>
          <w:rFonts w:hint="eastAsia" w:eastAsia="仿宋_GB2312"/>
          <w:sz w:val="28"/>
          <w:szCs w:val="28"/>
        </w:rPr>
        <w:t>2022年6月2</w:t>
      </w:r>
      <w:r>
        <w:rPr>
          <w:rFonts w:eastAsia="仿宋_GB2312"/>
          <w:sz w:val="28"/>
          <w:szCs w:val="28"/>
        </w:rPr>
        <w:t>3</w:t>
      </w:r>
      <w:r>
        <w:rPr>
          <w:rFonts w:hint="eastAsia" w:eastAsia="仿宋_GB2312"/>
          <w:sz w:val="28"/>
          <w:szCs w:val="28"/>
        </w:rPr>
        <w:t>日</w:t>
      </w:r>
      <w:bookmarkStart w:id="0" w:name="_GoBack"/>
      <w:bookmarkEnd w:id="0"/>
    </w:p>
    <w:p/>
    <w:p/>
    <w:p>
      <w:pPr>
        <w:spacing w:line="560" w:lineRule="exact"/>
      </w:pPr>
    </w:p>
    <w:p>
      <w:pPr>
        <w:spacing w:line="560" w:lineRule="exact"/>
        <w:jc w:val="center"/>
        <w:rPr>
          <w:rFonts w:eastAsia="楷体_GB2312"/>
          <w:sz w:val="32"/>
          <w:szCs w:val="32"/>
        </w:rPr>
      </w:pPr>
      <w:r>
        <w:rPr>
          <w:rFonts w:eastAsia="楷体_GB2312"/>
          <w:sz w:val="32"/>
          <w:szCs w:val="32"/>
        </w:rPr>
        <w:t>连云港市哲学社会科学规划领导小组办公室</w:t>
      </w:r>
    </w:p>
    <w:p>
      <w:pPr>
        <w:spacing w:line="560" w:lineRule="exact"/>
        <w:jc w:val="center"/>
        <w:rPr>
          <w:rFonts w:eastAsia="楷体_GB2312"/>
          <w:sz w:val="32"/>
          <w:szCs w:val="32"/>
        </w:rPr>
      </w:pPr>
      <w:r>
        <w:rPr>
          <w:rFonts w:eastAsia="楷体_GB2312"/>
          <w:sz w:val="32"/>
          <w:szCs w:val="32"/>
        </w:rPr>
        <w:t>2022年5月</w:t>
      </w:r>
    </w:p>
    <w:p>
      <w:pPr>
        <w:spacing w:line="560" w:lineRule="exact"/>
        <w:rPr>
          <w:rFonts w:eastAsia="黑体"/>
          <w:sz w:val="28"/>
          <w:szCs w:val="28"/>
        </w:rPr>
      </w:pPr>
    </w:p>
    <w:p>
      <w:pPr>
        <w:spacing w:line="440" w:lineRule="exact"/>
        <w:rPr>
          <w:rFonts w:eastAsia="黑体"/>
          <w:sz w:val="28"/>
          <w:szCs w:val="28"/>
        </w:rPr>
      </w:pPr>
      <w:r>
        <w:rPr>
          <w:rFonts w:eastAsia="黑体"/>
          <w:sz w:val="28"/>
          <w:szCs w:val="28"/>
        </w:rPr>
        <w:t>申报者承诺：</w:t>
      </w:r>
    </w:p>
    <w:p>
      <w:pPr>
        <w:spacing w:line="440" w:lineRule="exact"/>
        <w:ind w:firstLine="570"/>
        <w:rPr>
          <w:rFonts w:eastAsia="仿宋_GB2312"/>
          <w:sz w:val="28"/>
          <w:szCs w:val="28"/>
        </w:rPr>
      </w:pPr>
      <w:r>
        <w:rPr>
          <w:rFonts w:eastAsia="仿宋_GB2312"/>
          <w:sz w:val="28"/>
          <w:szCs w:val="28"/>
        </w:rPr>
        <w:t>我承诺对本人填写的各项内容的真实性负责，保证没有知识产权争议。如获准立项，我承诺以本表为有约束力的协议，遵守《江苏省社会科学基金项目管理办法》《江苏省社会科学基金项目资助经费管理办法》的规定，按计划认真开展研究工作，取得预期研究成果。连云港市哲学社会科学规划领导小组办公室有权使用本表所有数据和资料。</w:t>
      </w:r>
    </w:p>
    <w:p>
      <w:pPr>
        <w:spacing w:line="440" w:lineRule="exact"/>
        <w:ind w:firstLine="4206"/>
        <w:rPr>
          <w:rFonts w:eastAsia="仿宋_GB2312"/>
          <w:sz w:val="28"/>
          <w:szCs w:val="28"/>
        </w:rPr>
      </w:pPr>
      <w:r>
        <w:rPr>
          <w:rFonts w:eastAsia="仿宋_GB2312"/>
          <w:sz w:val="28"/>
          <w:szCs w:val="28"/>
        </w:rPr>
        <w:t>申报者（签字）：</w:t>
      </w:r>
    </w:p>
    <w:p>
      <w:pPr>
        <w:spacing w:line="440" w:lineRule="exact"/>
        <w:ind w:firstLine="7000" w:firstLineChars="2500"/>
        <w:rPr>
          <w:rFonts w:eastAsia="仿宋_GB2312"/>
          <w:sz w:val="28"/>
          <w:szCs w:val="28"/>
        </w:rPr>
      </w:pP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p>
      <w:pPr>
        <w:spacing w:line="440" w:lineRule="exact"/>
        <w:jc w:val="center"/>
        <w:rPr>
          <w:rFonts w:eastAsia="黑体"/>
          <w:sz w:val="36"/>
          <w:szCs w:val="36"/>
        </w:rPr>
      </w:pPr>
    </w:p>
    <w:p>
      <w:pPr>
        <w:spacing w:line="440" w:lineRule="exact"/>
        <w:jc w:val="center"/>
        <w:rPr>
          <w:rFonts w:eastAsia="黑体"/>
          <w:sz w:val="36"/>
          <w:szCs w:val="36"/>
        </w:rPr>
      </w:pPr>
      <w:r>
        <w:rPr>
          <w:rFonts w:eastAsia="黑体"/>
          <w:sz w:val="36"/>
          <w:szCs w:val="36"/>
        </w:rPr>
        <w:t>填表说明及注意事项</w:t>
      </w:r>
    </w:p>
    <w:p>
      <w:pPr>
        <w:spacing w:line="440" w:lineRule="exact"/>
        <w:ind w:firstLine="570"/>
        <w:rPr>
          <w:rFonts w:eastAsia="仿宋_GB2312"/>
          <w:sz w:val="28"/>
          <w:szCs w:val="28"/>
        </w:rPr>
      </w:pPr>
    </w:p>
    <w:p>
      <w:pPr>
        <w:spacing w:line="440" w:lineRule="exact"/>
        <w:ind w:firstLine="570"/>
        <w:rPr>
          <w:rFonts w:eastAsia="仿宋_GB2312"/>
          <w:sz w:val="28"/>
          <w:szCs w:val="28"/>
        </w:rPr>
      </w:pPr>
      <w:r>
        <w:rPr>
          <w:rFonts w:eastAsia="仿宋_GB2312"/>
          <w:sz w:val="28"/>
          <w:szCs w:val="28"/>
        </w:rPr>
        <w:t>一、项目类别分为重点项目、一般项目、自筹经费项目。</w:t>
      </w:r>
    </w:p>
    <w:p>
      <w:pPr>
        <w:spacing w:line="440" w:lineRule="exact"/>
        <w:ind w:firstLine="570"/>
        <w:rPr>
          <w:rFonts w:eastAsia="仿宋_GB2312"/>
          <w:spacing w:val="-6"/>
          <w:sz w:val="28"/>
          <w:szCs w:val="28"/>
        </w:rPr>
      </w:pPr>
      <w:r>
        <w:rPr>
          <w:rFonts w:eastAsia="仿宋_GB2312"/>
          <w:spacing w:val="2"/>
          <w:w w:val="98"/>
          <w:kern w:val="0"/>
          <w:sz w:val="28"/>
          <w:szCs w:val="28"/>
        </w:rPr>
        <w:t>二、</w:t>
      </w:r>
      <w:r>
        <w:rPr>
          <w:rFonts w:eastAsia="仿宋_GB2312"/>
          <w:spacing w:val="-6"/>
          <w:w w:val="98"/>
          <w:kern w:val="0"/>
          <w:sz w:val="28"/>
          <w:szCs w:val="28"/>
        </w:rPr>
        <w:t>学科及项目分类依据《课题指南》及</w:t>
      </w:r>
      <w:r>
        <w:rPr>
          <w:rFonts w:eastAsia="仿宋_GB2312"/>
          <w:sz w:val="28"/>
          <w:szCs w:val="28"/>
        </w:rPr>
        <w:t>研究内容填写，自选项目请注明。</w:t>
      </w:r>
    </w:p>
    <w:p>
      <w:pPr>
        <w:spacing w:line="440" w:lineRule="exact"/>
        <w:ind w:firstLine="570"/>
        <w:rPr>
          <w:rFonts w:eastAsia="仿宋_GB2312"/>
          <w:sz w:val="28"/>
          <w:szCs w:val="28"/>
        </w:rPr>
      </w:pPr>
      <w:r>
        <w:rPr>
          <w:rFonts w:eastAsia="仿宋_GB2312"/>
          <w:sz w:val="28"/>
          <w:szCs w:val="28"/>
        </w:rPr>
        <w:t>三、行政职务栏填写具体行政职务，包括厅级、处级、科级、其它。</w:t>
      </w:r>
    </w:p>
    <w:p>
      <w:pPr>
        <w:spacing w:line="440" w:lineRule="exact"/>
        <w:ind w:firstLine="570"/>
        <w:rPr>
          <w:rFonts w:eastAsia="仿宋_GB2312"/>
          <w:sz w:val="28"/>
          <w:szCs w:val="28"/>
        </w:rPr>
      </w:pPr>
      <w:r>
        <w:rPr>
          <w:rFonts w:eastAsia="仿宋_GB2312"/>
          <w:sz w:val="28"/>
          <w:szCs w:val="28"/>
        </w:rPr>
        <w:t>四、专业职务栏填写具体专业职务，包括正高职称、副高职称、中级职称、其他。</w:t>
      </w:r>
    </w:p>
    <w:p>
      <w:pPr>
        <w:spacing w:line="440" w:lineRule="exact"/>
        <w:ind w:firstLine="570"/>
        <w:rPr>
          <w:rFonts w:eastAsia="仿宋_GB2312"/>
          <w:sz w:val="28"/>
          <w:szCs w:val="28"/>
        </w:rPr>
      </w:pPr>
      <w:r>
        <w:rPr>
          <w:rFonts w:eastAsia="仿宋_GB2312"/>
          <w:sz w:val="28"/>
          <w:szCs w:val="28"/>
        </w:rPr>
        <w:t>五、最后学历栏填写具体学历，包括研究生、大学本科、大学专科、其它。</w:t>
      </w:r>
    </w:p>
    <w:p>
      <w:pPr>
        <w:spacing w:line="440" w:lineRule="exact"/>
        <w:ind w:firstLine="570"/>
        <w:rPr>
          <w:rFonts w:eastAsia="仿宋_GB2312"/>
          <w:sz w:val="28"/>
          <w:szCs w:val="28"/>
        </w:rPr>
      </w:pPr>
      <w:r>
        <w:rPr>
          <w:rFonts w:eastAsia="仿宋_GB2312"/>
          <w:sz w:val="28"/>
          <w:szCs w:val="28"/>
        </w:rPr>
        <w:t>六、担任导师栏分博士生导师、硕士生导师。</w:t>
      </w:r>
    </w:p>
    <w:p>
      <w:pPr>
        <w:spacing w:line="440" w:lineRule="exact"/>
        <w:ind w:firstLine="570"/>
        <w:rPr>
          <w:rFonts w:eastAsia="仿宋_GB2312"/>
          <w:sz w:val="28"/>
          <w:szCs w:val="28"/>
        </w:rPr>
      </w:pPr>
      <w:r>
        <w:rPr>
          <w:rFonts w:eastAsia="仿宋_GB2312"/>
          <w:sz w:val="28"/>
          <w:szCs w:val="28"/>
        </w:rPr>
        <w:t>七、所属系统包括市级机关（含省、部属企事业单位）、党校系统、高校系统、社科院所、县区机关企事业单位。</w:t>
      </w:r>
    </w:p>
    <w:p>
      <w:pPr>
        <w:spacing w:line="440" w:lineRule="exact"/>
        <w:ind w:firstLine="570"/>
        <w:rPr>
          <w:rFonts w:eastAsia="仿宋_GB2312"/>
          <w:sz w:val="28"/>
          <w:szCs w:val="28"/>
        </w:rPr>
      </w:pPr>
      <w:r>
        <w:rPr>
          <w:rFonts w:eastAsia="仿宋_GB2312"/>
          <w:sz w:val="28"/>
          <w:szCs w:val="28"/>
        </w:rPr>
        <w:t>八、资助经费为课题研究的部分资助。经费预算按项目类别经费额度填写。课题评审对预算额度可能进行调整。</w:t>
      </w:r>
    </w:p>
    <w:p>
      <w:pPr>
        <w:spacing w:line="440" w:lineRule="exact"/>
        <w:ind w:firstLine="570"/>
        <w:rPr>
          <w:rFonts w:eastAsia="仿宋_GB2312"/>
          <w:sz w:val="28"/>
          <w:szCs w:val="28"/>
        </w:rPr>
      </w:pPr>
      <w:r>
        <w:rPr>
          <w:rFonts w:eastAsia="仿宋_GB2312"/>
          <w:sz w:val="28"/>
          <w:szCs w:val="28"/>
        </w:rPr>
        <w:t>九、应用对策研究项目要根据社会需求的紧迫性和时效性确定完成时限，一般在1年内完成研究任务，最终成果为研究报告；基础研究项目一般在1-2年内完成，最终成果为系列论文或专著。最终成果将实行匿名鉴定制度。除特殊情况外，计划出版的成果须先鉴定后出版，违反规定擅自出版者视为自行终止相关资助协议。</w:t>
      </w:r>
    </w:p>
    <w:p>
      <w:pPr>
        <w:spacing w:line="440" w:lineRule="exact"/>
        <w:ind w:firstLine="570"/>
        <w:rPr>
          <w:rFonts w:eastAsia="仿宋_GB2312"/>
          <w:sz w:val="28"/>
          <w:szCs w:val="28"/>
        </w:rPr>
      </w:pPr>
      <w:r>
        <w:rPr>
          <w:rFonts w:eastAsia="仿宋_GB2312"/>
          <w:sz w:val="28"/>
          <w:szCs w:val="28"/>
        </w:rPr>
        <w:t>十、申请书一律用计算机填写，一式2份，用A3纸双面印制，中缝装订。活页可用A3或A4纸打印，一式2份，随申请书一并报送。</w:t>
      </w:r>
    </w:p>
    <w:p>
      <w:pPr>
        <w:spacing w:line="560" w:lineRule="exact"/>
        <w:rPr>
          <w:rFonts w:eastAsia="黑体"/>
          <w:sz w:val="28"/>
          <w:szCs w:val="28"/>
        </w:rPr>
      </w:pPr>
      <w:r>
        <w:rPr>
          <w:rFonts w:eastAsia="黑体"/>
          <w:sz w:val="28"/>
          <w:szCs w:val="28"/>
        </w:rPr>
        <w:t>一、数据表</w:t>
      </w:r>
    </w:p>
    <w:tbl>
      <w:tblPr>
        <w:tblStyle w:val="7"/>
        <w:tblW w:w="96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
        <w:gridCol w:w="644"/>
        <w:gridCol w:w="405"/>
        <w:gridCol w:w="637"/>
        <w:gridCol w:w="923"/>
        <w:gridCol w:w="216"/>
        <w:gridCol w:w="776"/>
        <w:gridCol w:w="1071"/>
        <w:gridCol w:w="426"/>
        <w:gridCol w:w="554"/>
        <w:gridCol w:w="6"/>
        <w:gridCol w:w="574"/>
        <w:gridCol w:w="243"/>
        <w:gridCol w:w="749"/>
        <w:gridCol w:w="19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75"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课题名称</w:t>
            </w:r>
          </w:p>
        </w:tc>
        <w:tc>
          <w:tcPr>
            <w:tcW w:w="8159" w:type="dxa"/>
            <w:gridSpan w:val="12"/>
            <w:tcBorders>
              <w:top w:val="single" w:color="auto" w:sz="4" w:space="0"/>
              <w:left w:val="single" w:color="auto" w:sz="4" w:space="0"/>
            </w:tcBorders>
            <w:vAlign w:val="center"/>
          </w:tcPr>
          <w:p>
            <w:pPr>
              <w:spacing w:line="440" w:lineRule="exact"/>
              <w:jc w:val="center"/>
            </w:pPr>
            <w:r>
              <w:rPr>
                <w:rFonts w:hint="eastAsia"/>
              </w:rPr>
              <w:t>疫情防控背景下高职院校线上教学改革研究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负责人姓名</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马舒婷</w:t>
            </w:r>
          </w:p>
        </w:tc>
        <w:tc>
          <w:tcPr>
            <w:tcW w:w="18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42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女</w:t>
            </w:r>
          </w:p>
        </w:tc>
        <w:tc>
          <w:tcPr>
            <w:tcW w:w="56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民族</w:t>
            </w:r>
          </w:p>
        </w:tc>
        <w:tc>
          <w:tcPr>
            <w:tcW w:w="5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汉</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日期</w:t>
            </w:r>
          </w:p>
        </w:tc>
        <w:tc>
          <w:tcPr>
            <w:tcW w:w="1984" w:type="dxa"/>
            <w:tcBorders>
              <w:top w:val="single" w:color="auto" w:sz="4" w:space="0"/>
              <w:left w:val="single" w:color="auto" w:sz="4" w:space="0"/>
              <w:bottom w:val="single" w:color="auto" w:sz="4" w:space="0"/>
            </w:tcBorders>
            <w:vAlign w:val="center"/>
          </w:tcPr>
          <w:p>
            <w:pPr>
              <w:spacing w:line="440" w:lineRule="exact"/>
              <w:ind w:right="315"/>
              <w:jc w:val="center"/>
            </w:pPr>
            <w:r>
              <w:t xml:space="preserve">  </w:t>
            </w:r>
            <w:r>
              <w:rPr>
                <w:rFonts w:hint="eastAsia"/>
              </w:rPr>
              <w:t>1989.02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行政职务</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无</w:t>
            </w:r>
          </w:p>
        </w:tc>
        <w:tc>
          <w:tcPr>
            <w:tcW w:w="18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专业</w:t>
            </w:r>
          </w:p>
          <w:p>
            <w:pPr>
              <w:spacing w:line="440" w:lineRule="exact"/>
              <w:jc w:val="center"/>
            </w:pPr>
            <w:r>
              <w:t>职务</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中级职称</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w:t>
            </w:r>
          </w:p>
          <w:p>
            <w:pPr>
              <w:spacing w:line="440" w:lineRule="exact"/>
              <w:jc w:val="center"/>
            </w:pPr>
            <w:r>
              <w:t>专长</w:t>
            </w:r>
          </w:p>
        </w:tc>
        <w:tc>
          <w:tcPr>
            <w:tcW w:w="1984" w:type="dxa"/>
            <w:tcBorders>
              <w:top w:val="single" w:color="auto" w:sz="4" w:space="0"/>
              <w:left w:val="single" w:color="auto" w:sz="4" w:space="0"/>
              <w:bottom w:val="single" w:color="auto" w:sz="4" w:space="0"/>
            </w:tcBorders>
            <w:vAlign w:val="center"/>
          </w:tcPr>
          <w:p>
            <w:pPr>
              <w:spacing w:line="440" w:lineRule="exact"/>
              <w:jc w:val="center"/>
            </w:pPr>
            <w:r>
              <w:rPr>
                <w:rFonts w:hint="eastAsia"/>
              </w:rPr>
              <w:t>美术、教学改革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最后学历</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硕士研究生</w:t>
            </w:r>
          </w:p>
        </w:tc>
        <w:tc>
          <w:tcPr>
            <w:tcW w:w="18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担任</w:t>
            </w:r>
          </w:p>
          <w:p>
            <w:pPr>
              <w:spacing w:line="440" w:lineRule="exact"/>
              <w:jc w:val="center"/>
            </w:pPr>
            <w:r>
              <w:t>导师</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无</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所属</w:t>
            </w:r>
          </w:p>
          <w:p>
            <w:pPr>
              <w:spacing w:line="440" w:lineRule="exact"/>
              <w:jc w:val="center"/>
            </w:pPr>
            <w:r>
              <w:t>系统</w:t>
            </w:r>
          </w:p>
        </w:tc>
        <w:tc>
          <w:tcPr>
            <w:tcW w:w="1984" w:type="dxa"/>
            <w:tcBorders>
              <w:top w:val="single" w:color="auto" w:sz="4" w:space="0"/>
              <w:left w:val="single" w:color="auto" w:sz="4" w:space="0"/>
              <w:bottom w:val="single" w:color="auto" w:sz="4" w:space="0"/>
            </w:tcBorders>
            <w:vAlign w:val="center"/>
          </w:tcPr>
          <w:p>
            <w:pPr>
              <w:spacing w:line="440" w:lineRule="exact"/>
              <w:jc w:val="center"/>
            </w:pPr>
            <w:r>
              <w:rPr>
                <w:rFonts w:hint="eastAsia"/>
              </w:rPr>
              <w:t>高校系统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工作单位</w:t>
            </w:r>
          </w:p>
        </w:tc>
        <w:tc>
          <w:tcPr>
            <w:tcW w:w="4049"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连云港师范高等专科学校</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联系电话</w:t>
            </w:r>
          </w:p>
        </w:tc>
        <w:tc>
          <w:tcPr>
            <w:tcW w:w="2976" w:type="dxa"/>
            <w:gridSpan w:val="3"/>
            <w:tcBorders>
              <w:top w:val="single" w:color="auto" w:sz="4" w:space="0"/>
              <w:left w:val="single" w:color="auto" w:sz="4" w:space="0"/>
              <w:bottom w:val="single" w:color="auto" w:sz="4" w:space="0"/>
            </w:tcBorders>
            <w:vAlign w:val="center"/>
          </w:tcPr>
          <w:p>
            <w:pPr>
              <w:spacing w:line="440" w:lineRule="exact"/>
              <w:jc w:val="center"/>
            </w:pPr>
            <w:r>
              <w:rPr>
                <w:rFonts w:hint="eastAsia"/>
              </w:rPr>
              <w:t>18005125599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通讯地址</w:t>
            </w:r>
          </w:p>
        </w:tc>
        <w:tc>
          <w:tcPr>
            <w:tcW w:w="404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u w:color="000000"/>
              </w:rPr>
            </w:pPr>
            <w:r>
              <w:rPr>
                <w:rFonts w:ascii="宋体" w:hAnsi="宋体" w:cs="宋体"/>
                <w:color w:val="000000"/>
                <w:u w:color="000000"/>
              </w:rPr>
              <w:t>连云港市海州区圣湖路28号连云港</w:t>
            </w:r>
            <w:r>
              <w:rPr>
                <w:rFonts w:hint="eastAsia" w:ascii="宋体" w:hAnsi="宋体" w:cs="宋体"/>
                <w:color w:val="000000"/>
                <w:u w:color="000000"/>
              </w:rPr>
              <w:t>师范高等专科学校</w:t>
            </w:r>
            <w:r>
              <w:rPr>
                <w:rFonts w:hAnsi="宋体" w:cs="宋体"/>
                <w:color w:val="000000"/>
                <w:szCs w:val="24"/>
                <w:u w:color="000000"/>
              </w:rPr>
              <w:t>美术学院</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邮政编码</w:t>
            </w:r>
          </w:p>
        </w:tc>
        <w:tc>
          <w:tcPr>
            <w:tcW w:w="2976" w:type="dxa"/>
            <w:gridSpan w:val="3"/>
            <w:tcBorders>
              <w:top w:val="single" w:color="auto" w:sz="4" w:space="0"/>
              <w:left w:val="single" w:color="auto" w:sz="4" w:space="0"/>
              <w:bottom w:val="single" w:color="auto" w:sz="4" w:space="0"/>
            </w:tcBorders>
            <w:vAlign w:val="center"/>
          </w:tcPr>
          <w:p>
            <w:pPr>
              <w:spacing w:line="440" w:lineRule="exact"/>
              <w:jc w:val="center"/>
            </w:pPr>
            <w:r>
              <w:rPr>
                <w:rFonts w:hint="eastAsia"/>
              </w:rPr>
              <w:t>222006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1" w:hRule="atLeast"/>
          <w:jc w:val="center"/>
        </w:trPr>
        <w:tc>
          <w:tcPr>
            <w:tcW w:w="426" w:type="dxa"/>
            <w:vMerge w:val="restart"/>
            <w:tcBorders>
              <w:top w:val="single" w:color="auto" w:sz="4" w:space="0"/>
              <w:bottom w:val="single" w:color="auto" w:sz="4" w:space="0"/>
              <w:right w:val="single" w:color="auto" w:sz="4" w:space="0"/>
            </w:tcBorders>
            <w:vAlign w:val="center"/>
          </w:tcPr>
          <w:p>
            <w:pPr>
              <w:spacing w:line="440" w:lineRule="exact"/>
              <w:jc w:val="center"/>
            </w:pPr>
            <w:r>
              <w:t>主</w:t>
            </w:r>
          </w:p>
          <w:p>
            <w:pPr>
              <w:spacing w:line="440" w:lineRule="exact"/>
              <w:jc w:val="center"/>
            </w:pPr>
          </w:p>
          <w:p>
            <w:pPr>
              <w:spacing w:line="440" w:lineRule="exact"/>
              <w:jc w:val="center"/>
            </w:pPr>
            <w:r>
              <w:t>要</w:t>
            </w:r>
          </w:p>
          <w:p>
            <w:pPr>
              <w:spacing w:line="440" w:lineRule="exact"/>
              <w:jc w:val="center"/>
            </w:pPr>
          </w:p>
          <w:p>
            <w:pPr>
              <w:spacing w:line="440" w:lineRule="exact"/>
              <w:jc w:val="center"/>
            </w:pPr>
            <w:r>
              <w:t>参</w:t>
            </w:r>
          </w:p>
          <w:p>
            <w:pPr>
              <w:spacing w:line="440" w:lineRule="exact"/>
              <w:jc w:val="center"/>
            </w:pPr>
          </w:p>
          <w:p>
            <w:pPr>
              <w:spacing w:line="440" w:lineRule="exact"/>
              <w:jc w:val="center"/>
            </w:pPr>
            <w:r>
              <w:t>加</w:t>
            </w:r>
          </w:p>
          <w:p>
            <w:pPr>
              <w:spacing w:line="440" w:lineRule="exact"/>
              <w:jc w:val="center"/>
            </w:pPr>
          </w:p>
          <w:p>
            <w:pPr>
              <w:spacing w:line="440" w:lineRule="exact"/>
              <w:jc w:val="center"/>
            </w:pPr>
            <w:r>
              <w:t>者</w:t>
            </w:r>
          </w:p>
          <w:p>
            <w:pPr>
              <w:spacing w:line="440" w:lineRule="exact"/>
              <w:jc w:val="righ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姓名</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年月</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学历</w:t>
            </w:r>
          </w:p>
        </w:tc>
        <w:tc>
          <w:tcPr>
            <w:tcW w:w="10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职务</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研究专长</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职称</w:t>
            </w:r>
          </w:p>
        </w:tc>
        <w:tc>
          <w:tcPr>
            <w:tcW w:w="1984" w:type="dxa"/>
            <w:tcBorders>
              <w:top w:val="single" w:color="auto" w:sz="4" w:space="0"/>
              <w:left w:val="single" w:color="auto" w:sz="4" w:space="0"/>
              <w:bottom w:val="single" w:color="auto" w:sz="4" w:space="0"/>
            </w:tcBorders>
            <w:vAlign w:val="center"/>
          </w:tcPr>
          <w:p>
            <w:pPr>
              <w:spacing w:line="440" w:lineRule="exact"/>
              <w:jc w:val="center"/>
            </w:pPr>
            <w: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伏涛</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19</w:t>
            </w:r>
            <w:r>
              <w:rPr>
                <w:rFonts w:hint="eastAsia"/>
              </w:rPr>
              <w:t>74.</w:t>
            </w:r>
            <w:r>
              <w:t>0</w:t>
            </w:r>
            <w:r>
              <w:rPr>
                <w:rFonts w:hint="eastAsia"/>
              </w:rPr>
              <w:t>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硕士</w:t>
            </w:r>
          </w:p>
          <w:p>
            <w:pPr>
              <w:spacing w:line="440" w:lineRule="exact"/>
              <w:jc w:val="center"/>
            </w:pPr>
            <w:r>
              <w:rPr>
                <w:rFonts w:hint="eastAsia"/>
              </w:rPr>
              <w:t>研究生</w:t>
            </w:r>
          </w:p>
        </w:tc>
        <w:tc>
          <w:tcPr>
            <w:tcW w:w="10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美术学院副院长</w:t>
            </w: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美术、教育</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副教授</w:t>
            </w:r>
          </w:p>
        </w:tc>
        <w:tc>
          <w:tcPr>
            <w:tcW w:w="1984" w:type="dxa"/>
            <w:tcBorders>
              <w:top w:val="single" w:color="auto" w:sz="4" w:space="0"/>
              <w:left w:val="single" w:color="auto" w:sz="4" w:space="0"/>
              <w:bottom w:val="single" w:color="auto" w:sz="4" w:space="0"/>
            </w:tcBorders>
            <w:vAlign w:val="center"/>
          </w:tcPr>
          <w:p>
            <w:pPr>
              <w:spacing w:line="440" w:lineRule="exact"/>
              <w:jc w:val="center"/>
            </w:pPr>
            <w:r>
              <w:rPr>
                <w:rFonts w:hint="eastAsia"/>
              </w:rPr>
              <w:t>连云港师范高等专科学校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0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984"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0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984"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7"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0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984"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07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984"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6" w:hRule="atLeast"/>
          <w:jc w:val="center"/>
        </w:trPr>
        <w:tc>
          <w:tcPr>
            <w:tcW w:w="1070" w:type="dxa"/>
            <w:gridSpan w:val="2"/>
            <w:tcBorders>
              <w:top w:val="single" w:color="auto" w:sz="4" w:space="0"/>
              <w:bottom w:val="single" w:color="auto" w:sz="4" w:space="0"/>
              <w:right w:val="single" w:color="auto" w:sz="4" w:space="0"/>
            </w:tcBorders>
            <w:vAlign w:val="center"/>
          </w:tcPr>
          <w:p>
            <w:pPr>
              <w:spacing w:line="440" w:lineRule="exact"/>
              <w:jc w:val="center"/>
            </w:pPr>
            <w:r>
              <w:t>预期成果（应用对策研究项目选D）</w:t>
            </w:r>
          </w:p>
        </w:tc>
        <w:tc>
          <w:tcPr>
            <w:tcW w:w="40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rPr>
              <w:t>C</w:t>
            </w:r>
          </w:p>
        </w:tc>
        <w:tc>
          <w:tcPr>
            <w:tcW w:w="5426" w:type="dxa"/>
            <w:gridSpan w:val="10"/>
            <w:tcBorders>
              <w:top w:val="single" w:color="auto" w:sz="4" w:space="0"/>
              <w:left w:val="single" w:color="auto" w:sz="4" w:space="0"/>
              <w:bottom w:val="single" w:color="auto" w:sz="4" w:space="0"/>
              <w:right w:val="single" w:color="auto" w:sz="4" w:space="0"/>
            </w:tcBorders>
            <w:vAlign w:val="center"/>
          </w:tcPr>
          <w:p>
            <w:pPr>
              <w:spacing w:line="440" w:lineRule="exact"/>
              <w:jc w:val="center"/>
              <w:rPr>
                <w:spacing w:val="-4"/>
                <w:w w:val="95"/>
              </w:rPr>
            </w:pPr>
            <w:r>
              <w:rPr>
                <w:spacing w:val="-4"/>
                <w:w w:val="95"/>
              </w:rPr>
              <w:t>A.专著B.译著C.论文D.研究报告E.工具书F.电脑软件</w:t>
            </w:r>
          </w:p>
        </w:tc>
        <w:tc>
          <w:tcPr>
            <w:tcW w:w="74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字数</w:t>
            </w:r>
          </w:p>
        </w:tc>
        <w:tc>
          <w:tcPr>
            <w:tcW w:w="1984" w:type="dxa"/>
            <w:tcBorders>
              <w:top w:val="single" w:color="auto" w:sz="4" w:space="0"/>
              <w:left w:val="single" w:color="auto" w:sz="4" w:space="0"/>
              <w:bottom w:val="single" w:color="auto" w:sz="4" w:space="0"/>
            </w:tcBorders>
            <w:vAlign w:val="center"/>
          </w:tcPr>
          <w:p>
            <w:pPr>
              <w:spacing w:line="440" w:lineRule="exact"/>
              <w:jc w:val="center"/>
            </w:pPr>
            <w:r>
              <w:rPr>
                <w:rFonts w:hint="eastAsia"/>
              </w:rPr>
              <w:t>5000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9" w:hRule="atLeast"/>
          <w:jc w:val="center"/>
        </w:trPr>
        <w:tc>
          <w:tcPr>
            <w:tcW w:w="2112" w:type="dxa"/>
            <w:gridSpan w:val="4"/>
            <w:tcBorders>
              <w:top w:val="single" w:color="auto" w:sz="4" w:space="0"/>
              <w:bottom w:val="single" w:color="auto" w:sz="4" w:space="0"/>
              <w:right w:val="single" w:color="auto" w:sz="4" w:space="0"/>
            </w:tcBorders>
            <w:vAlign w:val="center"/>
          </w:tcPr>
          <w:p>
            <w:pPr>
              <w:spacing w:line="440" w:lineRule="exact"/>
            </w:pPr>
            <w:r>
              <w:t>申请经费（单位：元）</w:t>
            </w:r>
          </w:p>
        </w:tc>
        <w:tc>
          <w:tcPr>
            <w:tcW w:w="2986"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3</w:t>
            </w:r>
            <w:r>
              <w:rPr>
                <w:rFonts w:hint="eastAsia"/>
              </w:rPr>
              <w:t>000元</w:t>
            </w:r>
          </w:p>
        </w:tc>
        <w:tc>
          <w:tcPr>
            <w:tcW w:w="98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预计完成</w:t>
            </w:r>
          </w:p>
          <w:p>
            <w:pPr>
              <w:spacing w:line="440" w:lineRule="exact"/>
              <w:jc w:val="center"/>
            </w:pPr>
            <w:r>
              <w:t>时间</w:t>
            </w:r>
          </w:p>
        </w:tc>
        <w:tc>
          <w:tcPr>
            <w:tcW w:w="3556" w:type="dxa"/>
            <w:gridSpan w:val="5"/>
            <w:tcBorders>
              <w:top w:val="single" w:color="auto" w:sz="4" w:space="0"/>
              <w:left w:val="single" w:color="auto" w:sz="4" w:space="0"/>
              <w:bottom w:val="single" w:color="auto" w:sz="4" w:space="0"/>
            </w:tcBorders>
            <w:vAlign w:val="center"/>
          </w:tcPr>
          <w:p>
            <w:pPr>
              <w:spacing w:line="440" w:lineRule="exact"/>
              <w:jc w:val="center"/>
            </w:pPr>
            <w:r>
              <w:rPr>
                <w:rFonts w:hint="eastAsia"/>
              </w:rPr>
              <w:t>2023年6月</w:t>
            </w:r>
          </w:p>
        </w:tc>
      </w:tr>
    </w:tbl>
    <w:p>
      <w:pPr>
        <w:rPr>
          <w:rFonts w:eastAsia="黑体"/>
          <w:sz w:val="28"/>
          <w:szCs w:val="28"/>
        </w:rPr>
      </w:pPr>
    </w:p>
    <w:p>
      <w:pPr>
        <w:rPr>
          <w:rFonts w:eastAsia="黑体"/>
          <w:sz w:val="28"/>
          <w:szCs w:val="28"/>
        </w:rPr>
      </w:pPr>
      <w:r>
        <w:rPr>
          <w:rFonts w:eastAsia="黑体"/>
          <w:sz w:val="28"/>
          <w:szCs w:val="28"/>
        </w:rPr>
        <w:t>二、课题论证</w:t>
      </w:r>
    </w:p>
    <w:tbl>
      <w:tblPr>
        <w:tblStyle w:val="7"/>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754" w:hRule="atLeast"/>
        </w:trPr>
        <w:tc>
          <w:tcPr>
            <w:tcW w:w="9492" w:type="dxa"/>
            <w:tcBorders>
              <w:top w:val="single" w:color="auto" w:sz="4" w:space="0"/>
              <w:bottom w:val="single" w:color="auto" w:sz="4" w:space="0"/>
            </w:tcBorders>
          </w:tcPr>
          <w:p>
            <w:pPr>
              <w:rPr>
                <w:rFonts w:eastAsia="黑体"/>
              </w:rPr>
            </w:pPr>
          </w:p>
          <w:p>
            <w:r>
              <w:rPr>
                <w:rFonts w:eastAsia="黑体"/>
              </w:rPr>
              <w:t>1.</w:t>
            </w:r>
            <w:r>
              <w:t>本课题市内外研究现状述评及研究意义；</w:t>
            </w:r>
            <w:r>
              <w:rPr>
                <w:rFonts w:eastAsia="黑体"/>
              </w:rPr>
              <w:t>2.</w:t>
            </w:r>
            <w:r>
              <w:t>研究的主要内容、基本思路和</w:t>
            </w:r>
            <w:r>
              <w:rPr>
                <w:spacing w:val="-6"/>
              </w:rPr>
              <w:t>方法、重点难点、</w:t>
            </w:r>
            <w:r>
              <w:t>主要观点及创新之处；3</w:t>
            </w:r>
            <w:r>
              <w:rPr>
                <w:rFonts w:eastAsia="黑体"/>
              </w:rPr>
              <w:t>.</w:t>
            </w:r>
            <w:r>
              <w:t>前期相关研究成果和研究基础；4.主要参考文献。限4000字以内。</w:t>
            </w:r>
          </w:p>
          <w:p>
            <w:pPr>
              <w:pStyle w:val="2"/>
              <w:rPr>
                <w:sz w:val="21"/>
              </w:rPr>
            </w:pPr>
          </w:p>
          <w:p>
            <w:pPr>
              <w:pStyle w:val="2"/>
              <w:jc w:val="left"/>
              <w:rPr>
                <w:b w:val="0"/>
                <w:sz w:val="24"/>
                <w:szCs w:val="24"/>
              </w:rPr>
            </w:pPr>
            <w:r>
              <w:rPr>
                <w:rFonts w:hint="eastAsia"/>
                <w:b w:val="0"/>
                <w:sz w:val="24"/>
                <w:szCs w:val="24"/>
              </w:rPr>
              <w:t>课题名称：疫情防控背景下高职院校线上教学改革研究</w:t>
            </w:r>
          </w:p>
          <w:p>
            <w:pPr>
              <w:pStyle w:val="3"/>
              <w:ind w:firstLine="456"/>
              <w:rPr>
                <w:rFonts w:ascii="宋体" w:hAnsi="宋体" w:eastAsia="宋体"/>
                <w:sz w:val="24"/>
                <w:szCs w:val="24"/>
              </w:rPr>
            </w:pPr>
            <w:r>
              <w:rPr>
                <w:rFonts w:hint="eastAsia" w:ascii="宋体" w:hAnsi="宋体" w:eastAsia="宋体"/>
                <w:sz w:val="24"/>
                <w:szCs w:val="24"/>
              </w:rPr>
              <w:t>2019年年底至今，全球疫情反反复复，如何正常开展教学活动是所有学校迫切需要解决的问题，高职院校的学生跨越多个地区，线上教学困难重重。各级教育部门出台了多种政策，协调教学资源指导学校开展线上教学，广大教师纷纷结合现代互联网技术进行线上教学，在此期间，高职线上教学出现了一些问题，对学校、教师和学生提出了新的要求。基于此，本课题基于高职线上教学框架要求，通过一系列相关调查研究，旨在了解目前高职院校线上教学的现状，归纳总结其相关问题，提出一系列解决方案，为以后突发状况下高职院校线上教学提供思路和解决途径。</w:t>
            </w:r>
          </w:p>
          <w:p>
            <w:pPr>
              <w:pStyle w:val="3"/>
              <w:ind w:firstLine="456"/>
              <w:rPr>
                <w:rFonts w:ascii="宋体" w:hAnsi="宋体" w:eastAsia="宋体"/>
                <w:sz w:val="24"/>
                <w:szCs w:val="24"/>
              </w:rPr>
            </w:pPr>
            <w:r>
              <w:rPr>
                <w:rFonts w:hint="eastAsia" w:ascii="宋体" w:hAnsi="宋体" w:eastAsia="宋体"/>
                <w:sz w:val="24"/>
                <w:szCs w:val="24"/>
              </w:rPr>
              <w:t>一、本课题市内外研究现状述评及研究意义</w:t>
            </w:r>
          </w:p>
          <w:p>
            <w:pPr>
              <w:pStyle w:val="3"/>
              <w:ind w:firstLine="456"/>
              <w:rPr>
                <w:rFonts w:ascii="宋体" w:hAnsi="宋体" w:eastAsia="宋体"/>
                <w:sz w:val="24"/>
                <w:szCs w:val="24"/>
              </w:rPr>
            </w:pPr>
            <w:r>
              <w:rPr>
                <w:rFonts w:hint="eastAsia" w:ascii="宋体" w:hAnsi="宋体" w:eastAsia="宋体"/>
                <w:sz w:val="24"/>
                <w:szCs w:val="24"/>
              </w:rPr>
              <w:t>（一）市内外研究现状</w:t>
            </w:r>
          </w:p>
          <w:p>
            <w:pPr>
              <w:pStyle w:val="3"/>
              <w:ind w:firstLine="456"/>
              <w:rPr>
                <w:rFonts w:ascii="宋体" w:hAnsi="宋体" w:eastAsia="宋体"/>
                <w:sz w:val="24"/>
                <w:szCs w:val="24"/>
              </w:rPr>
            </w:pPr>
            <w:r>
              <w:rPr>
                <w:rFonts w:hint="eastAsia" w:ascii="宋体" w:hAnsi="宋体" w:eastAsia="宋体"/>
                <w:sz w:val="24"/>
                <w:szCs w:val="24"/>
              </w:rPr>
              <w:t>疫情发生以来，各省市地区坚决执行中央指示的联防联控机制，教育部根据疫情相关情况印发《关于在疫情防控期间做好普通高等学校在线教学组织与管理工作的指导意见》，要求高校在疫情防控期间坚持线上教学的模式，实现“停课不停学”，保证疫情期间高校的教学质量。江苏出台相关政策文件，停课不停学，努力构建互联网+教育模式。</w:t>
            </w:r>
          </w:p>
          <w:p>
            <w:pPr>
              <w:pStyle w:val="3"/>
              <w:ind w:firstLine="456"/>
              <w:rPr>
                <w:rFonts w:ascii="宋体" w:hAnsi="宋体" w:eastAsia="宋体"/>
                <w:sz w:val="24"/>
                <w:szCs w:val="24"/>
              </w:rPr>
            </w:pPr>
            <w:r>
              <w:rPr>
                <w:rFonts w:hint="eastAsia" w:ascii="宋体" w:hAnsi="宋体" w:eastAsia="宋体"/>
                <w:sz w:val="24"/>
                <w:szCs w:val="24"/>
              </w:rPr>
              <w:t>针对疫情期间高职院校线上教学的探讨，各类课题论文层出不穷。翟崇琳在《后疫情时代高校专业课教学改革研究》中指出后疫情背景下为实现教学有序正常开展，课程采用线上线下混合的教学方法，在教学内容中融入课程思政，加强思政教育，以实现专业教育与立德树人并举的教育目标。依托互联网利用超星平台可以构建立体化教学资源库，实现教育信息化，使课堂教学具有双向互动特征。卢跃茹在《疫情背景下高职院校线上教学的个案研究》中指出要构建高职在线课程的基本框架，调查教师的信息化水平基础、线上教学准备采用的教学平台和模式、教学效果、教学反思等方面，以优化促重构，基于优化思路重构高职线上课程体系，利用互联网技术优势寻找线上教学的创新模式。薛帅、李俊涛在《疫情下高职院校专业课程“三位一体”线上教学实践》中指出教学资源-教学平台-学习平台三者相互结合形成在线课堂生态圈，具有传统课堂不能替代的优势，融合信息化教学技术的在线职业教育对高职专业课教师的教学能力提出了更高的要求。唯有在以后的教学实践中，不断掌握信息化教学手段，提升教学能力和水平，才能适应教学对象变化，顺应高职教育教学改革发展趋势。</w:t>
            </w:r>
          </w:p>
          <w:p>
            <w:pPr>
              <w:pStyle w:val="3"/>
              <w:ind w:firstLine="456"/>
              <w:rPr>
                <w:rFonts w:ascii="宋体" w:hAnsi="宋体" w:eastAsia="宋体"/>
                <w:sz w:val="24"/>
                <w:szCs w:val="24"/>
              </w:rPr>
            </w:pPr>
            <w:r>
              <w:rPr>
                <w:rFonts w:hint="eastAsia" w:ascii="宋体" w:hAnsi="宋体" w:eastAsia="宋体"/>
                <w:sz w:val="24"/>
                <w:szCs w:val="24"/>
              </w:rPr>
              <w:t>综上所述，受近两年疫情的影响，人们对线上教学有了更深入研究与探讨，其中提升教师线上教学实践的能力也逐渐被人们所关注。</w:t>
            </w:r>
          </w:p>
          <w:p>
            <w:pPr>
              <w:pStyle w:val="3"/>
              <w:ind w:firstLine="456"/>
              <w:rPr>
                <w:rFonts w:ascii="宋体" w:hAnsi="宋体" w:eastAsia="宋体"/>
                <w:sz w:val="24"/>
                <w:szCs w:val="24"/>
              </w:rPr>
            </w:pPr>
            <w:r>
              <w:rPr>
                <w:rFonts w:hint="eastAsia" w:ascii="宋体" w:hAnsi="宋体" w:eastAsia="宋体"/>
                <w:sz w:val="24"/>
                <w:szCs w:val="24"/>
              </w:rPr>
              <w:t>（二）研究意义</w:t>
            </w:r>
          </w:p>
          <w:p>
            <w:pPr>
              <w:pStyle w:val="3"/>
              <w:ind w:firstLine="456"/>
              <w:rPr>
                <w:rFonts w:ascii="宋体" w:hAnsi="宋体" w:eastAsia="宋体"/>
                <w:sz w:val="24"/>
                <w:szCs w:val="24"/>
              </w:rPr>
            </w:pPr>
            <w:r>
              <w:rPr>
                <w:rFonts w:hint="eastAsia" w:ascii="宋体" w:hAnsi="宋体" w:eastAsia="宋体"/>
                <w:sz w:val="24"/>
                <w:szCs w:val="24"/>
              </w:rPr>
              <w:t>1、激励教师在线教学实践中不断突破自我</w:t>
            </w:r>
          </w:p>
          <w:p>
            <w:pPr>
              <w:pStyle w:val="3"/>
              <w:ind w:firstLine="456"/>
              <w:rPr>
                <w:rFonts w:ascii="宋体" w:hAnsi="宋体" w:eastAsia="宋体"/>
                <w:sz w:val="24"/>
                <w:szCs w:val="24"/>
              </w:rPr>
            </w:pPr>
            <w:r>
              <w:rPr>
                <w:rFonts w:hint="eastAsia" w:ascii="宋体" w:hAnsi="宋体" w:eastAsia="宋体"/>
                <w:sz w:val="24"/>
                <w:szCs w:val="24"/>
              </w:rPr>
              <w:t>与传统线下教学相比，线上教学在网络技术运用、信息化教学手段等方面都对教师提出的新的要求，教师要学会多学多看，采用新技术和新方法来改变教学模式，实现教学能力从传统课堂到线上的迁移，组件创新性教师团队，线上线下教学深入融合，激励教师在线教学实践中不断的突破自我。</w:t>
            </w:r>
          </w:p>
          <w:p>
            <w:pPr>
              <w:pStyle w:val="3"/>
              <w:ind w:firstLine="456"/>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、探索线上教学独特优势，弥补线下教学的不足</w:t>
            </w:r>
          </w:p>
          <w:p>
            <w:pPr>
              <w:pStyle w:val="3"/>
              <w:ind w:firstLine="456"/>
              <w:rPr>
                <w:rFonts w:ascii="宋体" w:hAnsi="宋体" w:eastAsia="宋体"/>
                <w:sz w:val="24"/>
                <w:szCs w:val="24"/>
              </w:rPr>
            </w:pPr>
            <w:r>
              <w:rPr>
                <w:rFonts w:hint="eastAsia" w:ascii="宋体" w:hAnsi="宋体" w:eastAsia="宋体"/>
                <w:sz w:val="24"/>
                <w:szCs w:val="24"/>
              </w:rPr>
              <w:t>线上教学还有很多优于传统线下教学的特点，线上教学由于可录制、回放，学生在领悟不彻底的情况下可以对所学课程进行回放，进一步领悟知识点。此外，课程和资源的开放程度与共享方式也比线下教学更具有优势。教师可基于教学设计探索线上教学所具有的独特优势，弥补线下教学的不足之处。</w:t>
            </w:r>
          </w:p>
          <w:p>
            <w:pPr>
              <w:pStyle w:val="3"/>
              <w:ind w:firstLine="456"/>
              <w:rPr>
                <w:rFonts w:ascii="宋体" w:hAnsi="宋体" w:eastAsia="宋体"/>
                <w:sz w:val="24"/>
                <w:szCs w:val="24"/>
              </w:rPr>
            </w:pPr>
            <w:r>
              <w:rPr>
                <w:rFonts w:hint="eastAsia" w:ascii="宋体" w:hAnsi="宋体" w:eastAsia="宋体"/>
                <w:sz w:val="24"/>
                <w:szCs w:val="24"/>
              </w:rPr>
              <w:t>3、为完善高职院校线上教学体系提出解决途径</w:t>
            </w:r>
          </w:p>
          <w:p>
            <w:pPr>
              <w:pStyle w:val="3"/>
              <w:ind w:firstLine="456"/>
              <w:rPr>
                <w:rFonts w:ascii="宋体" w:hAnsi="宋体" w:eastAsia="宋体"/>
                <w:sz w:val="24"/>
                <w:szCs w:val="24"/>
              </w:rPr>
            </w:pPr>
            <w:r>
              <w:rPr>
                <w:rFonts w:hint="eastAsia" w:ascii="宋体" w:hAnsi="宋体" w:eastAsia="宋体"/>
                <w:sz w:val="24"/>
                <w:szCs w:val="24"/>
              </w:rPr>
              <w:t>目前，大多数高职院校线上教学体系不完善，本课题可构建一系列完整、科学、创新的教学体系，梳理形成高职线上课程体系的总框架，不断补充、改进、完善线上教学体系。</w:t>
            </w:r>
          </w:p>
          <w:p>
            <w:pPr>
              <w:pStyle w:val="3"/>
              <w:ind w:firstLine="456"/>
              <w:rPr>
                <w:rFonts w:ascii="宋体" w:hAnsi="宋体" w:eastAsia="宋体"/>
                <w:sz w:val="24"/>
                <w:szCs w:val="24"/>
              </w:rPr>
            </w:pPr>
            <w:r>
              <w:rPr>
                <w:rFonts w:hint="eastAsia" w:ascii="宋体" w:hAnsi="宋体" w:eastAsia="宋体"/>
                <w:sz w:val="24"/>
                <w:szCs w:val="24"/>
              </w:rPr>
              <w:t>二、本课题</w:t>
            </w:r>
            <w:r>
              <w:rPr>
                <w:rFonts w:ascii="宋体" w:hAnsi="宋体" w:eastAsia="宋体"/>
                <w:sz w:val="24"/>
                <w:szCs w:val="24"/>
              </w:rPr>
              <w:t>研究的主要内容、基本思路和方法、重点难点、主要观点及创新之处</w:t>
            </w:r>
          </w:p>
          <w:p>
            <w:pPr>
              <w:pStyle w:val="3"/>
              <w:ind w:firstLine="456"/>
              <w:rPr>
                <w:rFonts w:ascii="宋体" w:hAnsi="宋体" w:eastAsia="宋体"/>
                <w:sz w:val="24"/>
                <w:szCs w:val="24"/>
              </w:rPr>
            </w:pPr>
            <w:r>
              <w:rPr>
                <w:rFonts w:hint="eastAsia" w:ascii="宋体" w:hAnsi="宋体" w:eastAsia="宋体"/>
                <w:sz w:val="24"/>
                <w:szCs w:val="24"/>
              </w:rPr>
              <w:t>（一）主要内容</w:t>
            </w:r>
          </w:p>
          <w:p>
            <w:pPr>
              <w:pStyle w:val="3"/>
              <w:ind w:firstLine="456"/>
              <w:rPr>
                <w:rFonts w:ascii="宋体" w:hAnsi="宋体" w:eastAsia="宋体"/>
                <w:sz w:val="24"/>
                <w:szCs w:val="24"/>
              </w:rPr>
            </w:pPr>
            <w:r>
              <w:rPr>
                <w:rFonts w:hint="eastAsia" w:ascii="宋体" w:hAnsi="宋体" w:eastAsia="宋体"/>
                <w:sz w:val="24"/>
                <w:szCs w:val="24"/>
              </w:rPr>
              <w:t>1、疫情背景下高职院校线上教学现状分析</w:t>
            </w:r>
          </w:p>
          <w:p>
            <w:pPr>
              <w:pStyle w:val="3"/>
              <w:ind w:firstLine="456"/>
              <w:rPr>
                <w:rFonts w:ascii="宋体" w:hAnsi="宋体" w:eastAsia="宋体"/>
                <w:sz w:val="24"/>
                <w:szCs w:val="24"/>
              </w:rPr>
            </w:pPr>
            <w:r>
              <w:rPr>
                <w:rFonts w:hint="eastAsia" w:ascii="宋体" w:hAnsi="宋体" w:eastAsia="宋体"/>
                <w:sz w:val="24"/>
                <w:szCs w:val="24"/>
              </w:rPr>
              <w:t>突如其来的疫情给各高职院校线上教学带来了重重挑战，不仅提高了对于教师的要求，也对学生自主学习提出了要求。以我校为例，针对教师线上教学的运用进行了调查，采用问卷式调查，全校范围内随机抽取20名专业课老师，超过30%的教师认为其对本学期的线上教学平台和方式的运用上还不够熟练，需进一步完善。针对学生的问卷调查，随机抽取</w:t>
            </w:r>
            <w:r>
              <w:rPr>
                <w:rFonts w:ascii="宋体" w:hAnsi="宋体" w:eastAsia="宋体"/>
                <w:sz w:val="24"/>
                <w:szCs w:val="24"/>
              </w:rPr>
              <w:t>100</w:t>
            </w:r>
            <w:r>
              <w:rPr>
                <w:rFonts w:hint="eastAsia" w:ascii="宋体" w:hAnsi="宋体" w:eastAsia="宋体"/>
                <w:sz w:val="24"/>
                <w:szCs w:val="24"/>
              </w:rPr>
              <w:t>位学生，</w:t>
            </w:r>
            <w:r>
              <w:rPr>
                <w:rFonts w:ascii="宋体" w:hAnsi="宋体" w:eastAsia="宋体"/>
                <w:sz w:val="24"/>
                <w:szCs w:val="24"/>
              </w:rPr>
              <w:t>1</w:t>
            </w:r>
            <w:r>
              <w:rPr>
                <w:rFonts w:hint="eastAsia" w:ascii="宋体" w:hAnsi="宋体" w:eastAsia="宋体"/>
                <w:sz w:val="24"/>
                <w:szCs w:val="24"/>
              </w:rPr>
              <w:t>2%的学生认为其存在流量不足、信号差等情况；对于课程资源的使用，64%的学生表示资源库总体满意度较高，也有3</w:t>
            </w:r>
            <w:r>
              <w:rPr>
                <w:rFonts w:ascii="宋体" w:hAnsi="宋体" w:eastAsia="宋体"/>
                <w:sz w:val="24"/>
                <w:szCs w:val="24"/>
              </w:rPr>
              <w:t>0</w:t>
            </w:r>
            <w:r>
              <w:rPr>
                <w:rFonts w:hint="eastAsia" w:ascii="宋体" w:hAnsi="宋体" w:eastAsia="宋体"/>
                <w:sz w:val="24"/>
                <w:szCs w:val="24"/>
              </w:rPr>
              <w:t>%的学生认为其效果一般，6%的学生表示对其不适应。</w:t>
            </w:r>
          </w:p>
          <w:p>
            <w:pPr>
              <w:pStyle w:val="3"/>
              <w:ind w:firstLine="456"/>
              <w:rPr>
                <w:rFonts w:ascii="宋体" w:hAnsi="宋体" w:eastAsia="宋体"/>
                <w:sz w:val="24"/>
                <w:szCs w:val="24"/>
              </w:rPr>
            </w:pPr>
            <w:r>
              <w:rPr>
                <w:rFonts w:hint="eastAsia" w:ascii="宋体" w:hAnsi="宋体" w:eastAsia="宋体"/>
                <w:sz w:val="24"/>
                <w:szCs w:val="24"/>
              </w:rPr>
              <w:t>2、疫情背景下高职院校线上教学建设存在的问题</w:t>
            </w:r>
          </w:p>
          <w:p>
            <w:pPr>
              <w:pStyle w:val="3"/>
              <w:ind w:firstLine="456"/>
              <w:rPr>
                <w:rFonts w:ascii="宋体" w:hAnsi="宋体" w:eastAsia="宋体"/>
                <w:sz w:val="24"/>
                <w:szCs w:val="24"/>
              </w:rPr>
            </w:pPr>
            <w:r>
              <w:rPr>
                <w:rFonts w:hint="eastAsia" w:ascii="宋体" w:hAnsi="宋体" w:eastAsia="宋体"/>
                <w:sz w:val="24"/>
                <w:szCs w:val="24"/>
              </w:rPr>
              <w:t>（1）信息化基础设施薄弱，教师信息化能力需进一步提高</w:t>
            </w:r>
          </w:p>
          <w:p>
            <w:pPr>
              <w:pStyle w:val="3"/>
              <w:ind w:firstLine="456"/>
              <w:rPr>
                <w:rFonts w:ascii="宋体" w:hAnsi="宋体" w:eastAsia="宋体"/>
                <w:sz w:val="24"/>
                <w:szCs w:val="24"/>
              </w:rPr>
            </w:pPr>
            <w:r>
              <w:rPr>
                <w:rFonts w:hint="eastAsia" w:ascii="宋体" w:hAnsi="宋体" w:eastAsia="宋体"/>
                <w:sz w:val="24"/>
                <w:szCs w:val="24"/>
              </w:rPr>
              <w:t>（2）理论课线上教学开展较好，但实践课难以开展线上教学</w:t>
            </w:r>
          </w:p>
          <w:p>
            <w:pPr>
              <w:pStyle w:val="3"/>
              <w:ind w:firstLine="456"/>
              <w:rPr>
                <w:rFonts w:ascii="宋体" w:hAnsi="宋体" w:eastAsia="宋体"/>
                <w:sz w:val="24"/>
                <w:szCs w:val="24"/>
              </w:rPr>
            </w:pPr>
            <w:r>
              <w:rPr>
                <w:rFonts w:hint="eastAsia" w:ascii="宋体" w:hAnsi="宋体" w:eastAsia="宋体"/>
                <w:sz w:val="24"/>
                <w:szCs w:val="24"/>
              </w:rPr>
              <w:t>（3）线上课程创新性不足，软件使用复杂</w:t>
            </w:r>
          </w:p>
          <w:p>
            <w:pPr>
              <w:pStyle w:val="3"/>
              <w:ind w:firstLine="456"/>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、疫情背景下完善高职线上教学策略</w:t>
            </w:r>
          </w:p>
          <w:p>
            <w:pPr>
              <w:pStyle w:val="3"/>
              <w:ind w:firstLine="456"/>
              <w:rPr>
                <w:rFonts w:ascii="宋体" w:hAnsi="宋体" w:eastAsia="宋体"/>
                <w:sz w:val="24"/>
                <w:szCs w:val="24"/>
              </w:rPr>
            </w:pPr>
            <w:r>
              <w:rPr>
                <w:rFonts w:hint="eastAsia" w:ascii="宋体" w:hAnsi="宋体" w:eastAsia="宋体"/>
                <w:sz w:val="24"/>
                <w:szCs w:val="24"/>
              </w:rPr>
              <w:t>（1）线上教学管理者要立足长远发展进行战略性思考</w:t>
            </w:r>
          </w:p>
          <w:p>
            <w:pPr>
              <w:pStyle w:val="3"/>
              <w:ind w:firstLine="456"/>
              <w:rPr>
                <w:rFonts w:ascii="宋体" w:hAnsi="宋体" w:eastAsia="宋体"/>
                <w:sz w:val="24"/>
                <w:szCs w:val="24"/>
              </w:rPr>
            </w:pPr>
            <w:r>
              <w:rPr>
                <w:rFonts w:hint="eastAsia" w:ascii="宋体" w:hAnsi="宋体" w:eastAsia="宋体"/>
                <w:sz w:val="24"/>
                <w:szCs w:val="24"/>
              </w:rPr>
              <w:t>（2）提供线上教学资源支持</w:t>
            </w:r>
          </w:p>
          <w:p>
            <w:pPr>
              <w:pStyle w:val="3"/>
              <w:ind w:firstLine="456"/>
              <w:rPr>
                <w:rFonts w:ascii="宋体" w:hAnsi="宋体" w:eastAsia="宋体"/>
                <w:sz w:val="24"/>
                <w:szCs w:val="24"/>
              </w:rPr>
            </w:pPr>
            <w:r>
              <w:rPr>
                <w:rFonts w:hint="eastAsia" w:ascii="宋体" w:hAnsi="宋体" w:eastAsia="宋体"/>
                <w:sz w:val="24"/>
                <w:szCs w:val="24"/>
              </w:rPr>
              <w:t>（3）加强教师线上教学能力培训</w:t>
            </w:r>
          </w:p>
          <w:p>
            <w:pPr>
              <w:pStyle w:val="3"/>
              <w:ind w:firstLine="456"/>
              <w:rPr>
                <w:rFonts w:ascii="宋体" w:hAnsi="宋体" w:eastAsia="宋体"/>
                <w:sz w:val="24"/>
                <w:szCs w:val="24"/>
              </w:rPr>
            </w:pPr>
            <w:r>
              <w:rPr>
                <w:rFonts w:ascii="宋体" w:hAnsi="宋体" w:eastAsia="宋体"/>
                <w:sz w:val="24"/>
                <w:szCs w:val="24"/>
              </w:rPr>
              <w:t>4</w:t>
            </w:r>
            <w:r>
              <w:rPr>
                <w:rFonts w:hint="eastAsia" w:ascii="宋体" w:hAnsi="宋体" w:eastAsia="宋体"/>
                <w:sz w:val="24"/>
                <w:szCs w:val="24"/>
              </w:rPr>
              <w:t>、特殊时期给教学信息化带来的机遇</w:t>
            </w:r>
          </w:p>
          <w:p>
            <w:pPr>
              <w:pStyle w:val="3"/>
              <w:ind w:firstLine="456"/>
              <w:rPr>
                <w:rFonts w:ascii="宋体" w:hAnsi="宋体" w:eastAsia="宋体"/>
                <w:sz w:val="24"/>
                <w:szCs w:val="24"/>
              </w:rPr>
            </w:pPr>
            <w:r>
              <w:rPr>
                <w:rFonts w:hint="eastAsia" w:ascii="宋体" w:hAnsi="宋体" w:eastAsia="宋体"/>
                <w:sz w:val="24"/>
                <w:szCs w:val="24"/>
              </w:rPr>
              <w:t>（1）加强教学平台稳定性建设</w:t>
            </w:r>
          </w:p>
          <w:p>
            <w:pPr>
              <w:pStyle w:val="3"/>
              <w:ind w:firstLine="456"/>
              <w:rPr>
                <w:rFonts w:ascii="宋体" w:hAnsi="宋体" w:eastAsia="宋体"/>
                <w:sz w:val="24"/>
                <w:szCs w:val="24"/>
              </w:rPr>
            </w:pPr>
            <w:r>
              <w:rPr>
                <w:rFonts w:hint="eastAsia" w:ascii="宋体" w:hAnsi="宋体" w:eastAsia="宋体"/>
                <w:sz w:val="24"/>
                <w:szCs w:val="24"/>
              </w:rPr>
              <w:t>（2）加强实训课程平台资源建设</w:t>
            </w:r>
          </w:p>
          <w:p>
            <w:pPr>
              <w:pStyle w:val="3"/>
              <w:ind w:firstLine="456"/>
              <w:rPr>
                <w:rFonts w:ascii="宋体" w:hAnsi="宋体" w:eastAsia="宋体"/>
                <w:sz w:val="24"/>
                <w:szCs w:val="24"/>
              </w:rPr>
            </w:pPr>
            <w:r>
              <w:rPr>
                <w:rFonts w:hint="eastAsia" w:ascii="宋体" w:hAnsi="宋体" w:eastAsia="宋体"/>
                <w:sz w:val="24"/>
                <w:szCs w:val="24"/>
              </w:rPr>
              <w:t>（3）加强教师信息化教学能力</w:t>
            </w:r>
          </w:p>
          <w:p>
            <w:pPr>
              <w:pStyle w:val="3"/>
              <w:ind w:firstLine="456"/>
              <w:rPr>
                <w:rFonts w:ascii="宋体" w:hAnsi="宋体" w:eastAsia="宋体"/>
                <w:sz w:val="24"/>
                <w:szCs w:val="24"/>
              </w:rPr>
            </w:pPr>
            <w:r>
              <w:rPr>
                <w:rFonts w:hint="eastAsia" w:ascii="宋体" w:hAnsi="宋体" w:eastAsia="宋体"/>
                <w:sz w:val="24"/>
                <w:szCs w:val="24"/>
              </w:rPr>
              <w:t>（4）加强建立教学信息反馈制度</w:t>
            </w:r>
          </w:p>
          <w:p>
            <w:pPr>
              <w:pStyle w:val="3"/>
              <w:ind w:firstLine="456"/>
              <w:rPr>
                <w:rFonts w:ascii="宋体" w:hAnsi="宋体" w:eastAsia="宋体"/>
                <w:sz w:val="24"/>
                <w:szCs w:val="24"/>
              </w:rPr>
            </w:pPr>
            <w:r>
              <w:rPr>
                <w:rFonts w:hint="eastAsia" w:ascii="宋体" w:hAnsi="宋体" w:eastAsia="宋体"/>
                <w:sz w:val="24"/>
                <w:szCs w:val="24"/>
              </w:rPr>
              <w:t>（二）基本思路和方法</w:t>
            </w:r>
          </w:p>
          <w:p>
            <w:pPr>
              <w:pStyle w:val="3"/>
              <w:ind w:firstLine="456"/>
              <w:rPr>
                <w:rFonts w:ascii="宋体" w:hAnsi="宋体" w:eastAsia="宋体"/>
                <w:sz w:val="24"/>
                <w:szCs w:val="24"/>
              </w:rPr>
            </w:pPr>
            <w:r>
              <w:rPr>
                <w:rFonts w:hint="eastAsia" w:ascii="宋体" w:hAnsi="宋体" w:eastAsia="宋体"/>
                <w:sz w:val="24"/>
                <w:szCs w:val="24"/>
              </w:rPr>
              <w:t>1、基本思路：沿着现状研究</w:t>
            </w:r>
            <w:r>
              <w:rPr>
                <w:rFonts w:ascii="宋体" w:hAnsi="宋体" w:eastAsia="宋体"/>
                <w:sz w:val="24"/>
                <w:szCs w:val="24"/>
              </w:rPr>
              <w:t>—</w:t>
            </w:r>
            <w:r>
              <w:rPr>
                <w:rFonts w:hint="eastAsia" w:ascii="宋体" w:hAnsi="宋体" w:eastAsia="宋体"/>
                <w:sz w:val="24"/>
                <w:szCs w:val="24"/>
              </w:rPr>
              <w:t>基础理论研究</w:t>
            </w:r>
            <w:r>
              <w:rPr>
                <w:rFonts w:ascii="宋体" w:hAnsi="宋体" w:eastAsia="宋体"/>
                <w:sz w:val="24"/>
                <w:szCs w:val="24"/>
              </w:rPr>
              <w:t>—</w:t>
            </w:r>
            <w:r>
              <w:rPr>
                <w:rFonts w:hint="eastAsia" w:ascii="宋体" w:hAnsi="宋体" w:eastAsia="宋体"/>
                <w:sz w:val="24"/>
                <w:szCs w:val="24"/>
              </w:rPr>
              <w:t>教育实践研究的思路展开。</w:t>
            </w:r>
          </w:p>
          <w:p>
            <w:pPr>
              <w:pStyle w:val="3"/>
              <w:ind w:firstLine="456"/>
              <w:rPr>
                <w:rFonts w:ascii="宋体" w:hAnsi="宋体" w:eastAsia="宋体"/>
                <w:sz w:val="24"/>
                <w:szCs w:val="24"/>
              </w:rPr>
            </w:pPr>
            <w:r>
              <w:rPr>
                <w:rFonts w:hint="eastAsia" w:ascii="宋体" w:hAnsi="宋体" w:eastAsia="宋体"/>
                <w:sz w:val="24"/>
                <w:szCs w:val="24"/>
              </w:rPr>
              <w:t>通过调查研究，了解目前疫情背景下高职院校线上课程的现状，针对存在问题，寻求解决的策略和方法。通过查阅文献，借鉴先进的研究成果，在分析比较、归纳整理的基础上，进而开展教育实践研究，探索高校线上教学的新模式、新途径。</w:t>
            </w:r>
          </w:p>
          <w:p>
            <w:pPr>
              <w:pStyle w:val="3"/>
              <w:ind w:firstLine="456"/>
              <w:rPr>
                <w:rFonts w:ascii="宋体" w:hAnsi="宋体" w:eastAsia="宋体"/>
                <w:sz w:val="24"/>
                <w:szCs w:val="24"/>
              </w:rPr>
            </w:pPr>
            <w:r>
              <w:rPr>
                <w:rFonts w:hint="eastAsia" w:ascii="宋体" w:hAnsi="宋体" w:eastAsia="宋体"/>
                <w:sz w:val="24"/>
                <w:szCs w:val="24"/>
              </w:rPr>
              <w:t>2、方法</w:t>
            </w:r>
          </w:p>
          <w:p>
            <w:pPr>
              <w:pStyle w:val="3"/>
              <w:ind w:firstLine="456"/>
              <w:rPr>
                <w:rFonts w:ascii="宋体" w:hAnsi="宋体" w:eastAsia="宋体"/>
                <w:sz w:val="24"/>
                <w:szCs w:val="24"/>
              </w:rPr>
            </w:pPr>
            <w:r>
              <w:rPr>
                <w:rFonts w:hint="eastAsia" w:ascii="宋体" w:hAnsi="宋体" w:eastAsia="宋体"/>
                <w:sz w:val="24"/>
                <w:szCs w:val="24"/>
              </w:rPr>
              <w:t>准备阶段-实施研究阶段-总结鉴定阶段-经验推广阶段</w:t>
            </w:r>
          </w:p>
          <w:p>
            <w:pPr>
              <w:pStyle w:val="3"/>
              <w:ind w:firstLine="456"/>
              <w:rPr>
                <w:rFonts w:ascii="宋体" w:hAnsi="宋体" w:eastAsia="宋体"/>
                <w:sz w:val="24"/>
                <w:szCs w:val="24"/>
              </w:rPr>
            </w:pPr>
            <w:r>
              <w:rPr>
                <w:rFonts w:hint="eastAsia" w:ascii="宋体" w:hAnsi="宋体" w:eastAsia="宋体"/>
                <w:sz w:val="24"/>
                <w:szCs w:val="24"/>
              </w:rPr>
              <w:t>（1）调查研究法：在相关教育理论的指导下，通过问卷、访谈、观察、个案研究等方式，搜集资料，针对目前高职院校线上教学现状作出分析，为课题研究提供建议和依据。</w:t>
            </w:r>
          </w:p>
          <w:p>
            <w:pPr>
              <w:pStyle w:val="3"/>
              <w:ind w:firstLine="456"/>
              <w:rPr>
                <w:rFonts w:ascii="宋体" w:hAnsi="宋体" w:eastAsia="宋体"/>
                <w:sz w:val="24"/>
                <w:szCs w:val="24"/>
              </w:rPr>
            </w:pPr>
            <w:r>
              <w:rPr>
                <w:rFonts w:hint="eastAsia" w:ascii="宋体" w:hAnsi="宋体" w:eastAsia="宋体"/>
                <w:sz w:val="24"/>
                <w:szCs w:val="24"/>
              </w:rPr>
              <w:t>（2）文献研究法：通过对相关文献资料进行研究，借鉴先进经验，为改革高职院校线上教学新模式提供方法论。</w:t>
            </w:r>
          </w:p>
          <w:p>
            <w:pPr>
              <w:pStyle w:val="3"/>
              <w:ind w:firstLine="456"/>
              <w:rPr>
                <w:rFonts w:ascii="宋体" w:hAnsi="宋体" w:eastAsia="宋体"/>
                <w:sz w:val="24"/>
                <w:szCs w:val="24"/>
              </w:rPr>
            </w:pPr>
            <w:r>
              <w:rPr>
                <w:rFonts w:hint="eastAsia" w:ascii="宋体" w:hAnsi="宋体" w:eastAsia="宋体"/>
                <w:sz w:val="24"/>
                <w:szCs w:val="24"/>
              </w:rPr>
              <w:t>（3）行动研究法：针对当前疫情下高职院校线上教学存在的问题，围绕课题，运用解决方法，进行实践研究。</w:t>
            </w:r>
          </w:p>
          <w:p>
            <w:pPr>
              <w:pStyle w:val="3"/>
              <w:ind w:firstLine="456"/>
              <w:rPr>
                <w:rFonts w:ascii="宋体" w:hAnsi="宋体" w:eastAsia="宋体"/>
                <w:sz w:val="24"/>
                <w:szCs w:val="24"/>
              </w:rPr>
            </w:pPr>
            <w:r>
              <w:rPr>
                <w:rFonts w:hint="eastAsia" w:ascii="宋体" w:hAnsi="宋体" w:eastAsia="宋体"/>
                <w:sz w:val="24"/>
                <w:szCs w:val="24"/>
              </w:rPr>
              <w:t>（三）重点难点</w:t>
            </w:r>
          </w:p>
          <w:p>
            <w:pPr>
              <w:pStyle w:val="3"/>
              <w:ind w:firstLine="456"/>
              <w:rPr>
                <w:rFonts w:ascii="宋体" w:hAnsi="宋体" w:eastAsia="宋体"/>
                <w:sz w:val="24"/>
                <w:szCs w:val="24"/>
              </w:rPr>
            </w:pPr>
            <w:r>
              <w:rPr>
                <w:rFonts w:hint="eastAsia" w:ascii="宋体" w:hAnsi="宋体" w:eastAsia="宋体"/>
                <w:sz w:val="24"/>
                <w:szCs w:val="24"/>
              </w:rPr>
              <w:t>重点：教师线上教学能力的提升、实训课程线上教学平台资源建设。</w:t>
            </w:r>
          </w:p>
          <w:p>
            <w:pPr>
              <w:pStyle w:val="3"/>
              <w:ind w:firstLine="456"/>
              <w:rPr>
                <w:rFonts w:ascii="宋体" w:hAnsi="宋体" w:eastAsia="宋体"/>
                <w:sz w:val="24"/>
                <w:szCs w:val="24"/>
              </w:rPr>
            </w:pPr>
            <w:r>
              <w:rPr>
                <w:rFonts w:hint="eastAsia" w:ascii="宋体" w:hAnsi="宋体" w:eastAsia="宋体"/>
                <w:sz w:val="24"/>
                <w:szCs w:val="24"/>
              </w:rPr>
              <w:t>难点：针对线上教学长远发展的战略性思考。</w:t>
            </w:r>
          </w:p>
          <w:p>
            <w:pPr>
              <w:pStyle w:val="3"/>
              <w:ind w:firstLine="456"/>
              <w:rPr>
                <w:rFonts w:ascii="宋体" w:hAnsi="宋体" w:eastAsia="宋体"/>
                <w:sz w:val="24"/>
                <w:szCs w:val="24"/>
              </w:rPr>
            </w:pPr>
            <w:r>
              <w:rPr>
                <w:rFonts w:hint="eastAsia" w:ascii="宋体" w:hAnsi="宋体" w:eastAsia="宋体"/>
                <w:sz w:val="24"/>
                <w:szCs w:val="24"/>
              </w:rPr>
              <w:t>（四）主要观点及创新之处</w:t>
            </w:r>
          </w:p>
          <w:p>
            <w:pPr>
              <w:pStyle w:val="3"/>
              <w:ind w:firstLine="456"/>
              <w:rPr>
                <w:rFonts w:ascii="宋体" w:hAnsi="宋体" w:eastAsia="宋体"/>
                <w:sz w:val="24"/>
                <w:szCs w:val="24"/>
              </w:rPr>
            </w:pPr>
            <w:r>
              <w:rPr>
                <w:rFonts w:hint="eastAsia" w:ascii="宋体" w:hAnsi="宋体" w:eastAsia="宋体"/>
                <w:sz w:val="24"/>
                <w:szCs w:val="24"/>
              </w:rPr>
              <w:t>1、主要观点</w:t>
            </w:r>
          </w:p>
          <w:p>
            <w:pPr>
              <w:pStyle w:val="3"/>
              <w:ind w:firstLine="456"/>
              <w:rPr>
                <w:rFonts w:ascii="宋体" w:hAnsi="宋体" w:eastAsia="宋体"/>
                <w:sz w:val="24"/>
                <w:szCs w:val="24"/>
              </w:rPr>
            </w:pPr>
            <w:r>
              <w:rPr>
                <w:rFonts w:hint="eastAsia" w:ascii="宋体" w:hAnsi="宋体" w:eastAsia="宋体"/>
                <w:sz w:val="24"/>
                <w:szCs w:val="24"/>
              </w:rPr>
              <w:t>（1）提高教师信息化教学能力是线上教学的魂。由于缺乏教学改革动力，部分教师对于信息化教学的应用仍然停留在多媒体课件等形式，要不断提升教师信息化教学能力、打破传统课堂局限，实现传统课堂到线上云端的突破。</w:t>
            </w:r>
          </w:p>
          <w:p>
            <w:pPr>
              <w:pStyle w:val="3"/>
              <w:ind w:firstLine="456"/>
              <w:rPr>
                <w:rFonts w:ascii="宋体" w:hAnsi="宋体" w:eastAsia="宋体"/>
                <w:sz w:val="24"/>
                <w:szCs w:val="24"/>
              </w:rPr>
            </w:pPr>
            <w:r>
              <w:rPr>
                <w:rFonts w:hint="eastAsia" w:ascii="宋体" w:hAnsi="宋体" w:eastAsia="宋体"/>
                <w:sz w:val="24"/>
                <w:szCs w:val="24"/>
              </w:rPr>
              <w:t>（2）加强教学平台可靠性、稳定性建设。专业课程平台中也有很多优质在线课程资源，大量优质的课程资源在课程平台聚集，可方便使用者的合理利用。随着大量教学资源的涌入，加强教学平台可靠性、稳定性的建设尤为重要。</w:t>
            </w:r>
          </w:p>
          <w:p>
            <w:pPr>
              <w:pStyle w:val="3"/>
              <w:ind w:firstLine="456"/>
              <w:rPr>
                <w:rFonts w:ascii="宋体" w:hAnsi="宋体" w:eastAsia="宋体"/>
                <w:sz w:val="24"/>
                <w:szCs w:val="24"/>
              </w:rPr>
            </w:pPr>
            <w:r>
              <w:rPr>
                <w:rFonts w:hint="eastAsia" w:ascii="宋体" w:hAnsi="宋体" w:eastAsia="宋体"/>
                <w:sz w:val="24"/>
                <w:szCs w:val="24"/>
              </w:rPr>
              <w:t>（3）注重建设线上课程体系的长效性。当前，高职院校线上课程的临时性特征比较突出，线上线下教学的衔接不够，应大力推进职业院校线上教育改革，注重建设线上课程体系的长效性。</w:t>
            </w:r>
          </w:p>
          <w:p>
            <w:pPr>
              <w:pStyle w:val="3"/>
              <w:ind w:firstLine="456"/>
              <w:rPr>
                <w:rFonts w:ascii="宋体" w:hAnsi="宋体" w:eastAsia="宋体"/>
                <w:sz w:val="24"/>
                <w:szCs w:val="24"/>
              </w:rPr>
            </w:pPr>
            <w:r>
              <w:rPr>
                <w:rFonts w:hint="eastAsia" w:ascii="宋体" w:hAnsi="宋体" w:eastAsia="宋体"/>
                <w:sz w:val="24"/>
                <w:szCs w:val="24"/>
              </w:rPr>
              <w:t>2、可能的创新之处</w:t>
            </w:r>
          </w:p>
          <w:p>
            <w:pPr>
              <w:pStyle w:val="3"/>
              <w:ind w:firstLine="456"/>
              <w:rPr>
                <w:rFonts w:ascii="宋体" w:hAnsi="宋体" w:eastAsia="宋体"/>
                <w:sz w:val="24"/>
                <w:szCs w:val="24"/>
              </w:rPr>
            </w:pPr>
            <w:r>
              <w:rPr>
                <w:rFonts w:hint="eastAsia" w:ascii="宋体" w:hAnsi="宋体" w:eastAsia="宋体"/>
                <w:sz w:val="24"/>
                <w:szCs w:val="24"/>
              </w:rPr>
              <w:t>（1）多种途径综合作用，形成合力，提高教师信息化素养，为高职院校线上课程发展开辟了新途径。</w:t>
            </w:r>
          </w:p>
          <w:p>
            <w:pPr>
              <w:pStyle w:val="3"/>
              <w:ind w:firstLine="456"/>
              <w:rPr>
                <w:rFonts w:ascii="宋体" w:hAnsi="宋体" w:eastAsia="宋体"/>
                <w:sz w:val="24"/>
                <w:szCs w:val="24"/>
              </w:rPr>
            </w:pPr>
            <w:r>
              <w:rPr>
                <w:rFonts w:hint="eastAsia" w:ascii="宋体" w:hAnsi="宋体" w:eastAsia="宋体"/>
                <w:sz w:val="24"/>
                <w:szCs w:val="24"/>
              </w:rPr>
              <w:t>（2）把提高高职院校学生自主学习素养置于能力教育的大背景下，丰富了能力素养教育的内涵。</w:t>
            </w:r>
          </w:p>
          <w:p>
            <w:pPr>
              <w:pStyle w:val="3"/>
              <w:ind w:firstLine="456"/>
              <w:rPr>
                <w:rFonts w:ascii="宋体" w:hAnsi="宋体" w:eastAsia="宋体"/>
                <w:sz w:val="24"/>
                <w:szCs w:val="24"/>
              </w:rPr>
            </w:pPr>
            <w:r>
              <w:rPr>
                <w:rFonts w:hint="eastAsia" w:ascii="宋体" w:hAnsi="宋体" w:eastAsia="宋体"/>
                <w:sz w:val="24"/>
                <w:szCs w:val="24"/>
              </w:rPr>
              <w:t>三、</w:t>
            </w:r>
            <w:r>
              <w:rPr>
                <w:rFonts w:ascii="宋体" w:hAnsi="宋体" w:eastAsia="宋体"/>
                <w:sz w:val="24"/>
                <w:szCs w:val="24"/>
              </w:rPr>
              <w:t>前期相关研究成果和研究基础</w:t>
            </w:r>
          </w:p>
          <w:p>
            <w:pPr>
              <w:pStyle w:val="3"/>
              <w:ind w:firstLine="456"/>
              <w:rPr>
                <w:rFonts w:hint="eastAsia" w:ascii="宋体" w:hAnsi="宋体" w:eastAsia="宋体"/>
                <w:sz w:val="24"/>
                <w:szCs w:val="24"/>
              </w:rPr>
            </w:pPr>
            <w:r>
              <w:rPr>
                <w:rFonts w:hint="eastAsia" w:ascii="宋体" w:hAnsi="宋体" w:eastAsia="宋体"/>
                <w:sz w:val="24"/>
                <w:szCs w:val="24"/>
              </w:rPr>
              <w:t>本课题组成员的科研成果</w:t>
            </w:r>
          </w:p>
          <w:p>
            <w:pPr>
              <w:pStyle w:val="3"/>
              <w:ind w:firstLine="456"/>
              <w:rPr>
                <w:rFonts w:hint="eastAsia" w:ascii="宋体" w:hAnsi="宋体" w:eastAsia="宋体"/>
                <w:sz w:val="24"/>
                <w:szCs w:val="24"/>
              </w:rPr>
            </w:pPr>
            <w:r>
              <w:rPr>
                <w:rFonts w:hint="eastAsia" w:ascii="宋体" w:hAnsi="宋体" w:eastAsia="宋体"/>
                <w:sz w:val="24"/>
                <w:szCs w:val="24"/>
              </w:rPr>
              <w:t>1、江苏省在线开放课程《色彩人物》，江苏省教育厅，2017；</w:t>
            </w:r>
          </w:p>
          <w:p>
            <w:pPr>
              <w:pStyle w:val="3"/>
              <w:ind w:firstLine="456"/>
              <w:rPr>
                <w:rFonts w:hint="eastAsia" w:ascii="宋体" w:hAnsi="宋体" w:eastAsia="宋体"/>
                <w:sz w:val="24"/>
                <w:szCs w:val="24"/>
              </w:rPr>
            </w:pPr>
            <w:r>
              <w:rPr>
                <w:rFonts w:hint="eastAsia" w:ascii="宋体" w:hAnsi="宋体" w:eastAsia="宋体"/>
                <w:sz w:val="24"/>
                <w:szCs w:val="24"/>
              </w:rPr>
              <w:t>2、校教改课题两项：美术教育创新人才培养的实践教学研究、高校色彩风景课实践教学模式研究；</w:t>
            </w:r>
          </w:p>
          <w:p>
            <w:pPr>
              <w:pStyle w:val="3"/>
              <w:ind w:firstLine="456"/>
              <w:rPr>
                <w:rFonts w:hint="eastAsia" w:ascii="宋体" w:hAnsi="宋体" w:eastAsia="宋体"/>
                <w:sz w:val="24"/>
                <w:szCs w:val="24"/>
              </w:rPr>
            </w:pPr>
            <w:r>
              <w:rPr>
                <w:rFonts w:hint="eastAsia" w:ascii="宋体" w:hAnsi="宋体" w:eastAsia="宋体"/>
                <w:sz w:val="24"/>
                <w:szCs w:val="24"/>
              </w:rPr>
              <w:t>3、《色彩人物》，校精品课程；</w:t>
            </w:r>
          </w:p>
          <w:p>
            <w:pPr>
              <w:pStyle w:val="3"/>
              <w:ind w:firstLine="456"/>
              <w:rPr>
                <w:rFonts w:hint="eastAsia" w:ascii="宋体" w:hAnsi="宋体" w:eastAsia="宋体"/>
                <w:sz w:val="24"/>
                <w:szCs w:val="24"/>
              </w:rPr>
            </w:pPr>
            <w:r>
              <w:rPr>
                <w:rFonts w:hint="eastAsia" w:ascii="宋体" w:hAnsi="宋体" w:eastAsia="宋体"/>
                <w:sz w:val="24"/>
                <w:szCs w:val="24"/>
              </w:rPr>
              <w:t>4、绚丽年华——全国第六届美育成果展优秀作品奖、优秀指导教师；</w:t>
            </w:r>
          </w:p>
          <w:p>
            <w:pPr>
              <w:pStyle w:val="3"/>
              <w:ind w:firstLine="456"/>
              <w:rPr>
                <w:rFonts w:hint="eastAsia" w:ascii="宋体" w:hAnsi="宋体" w:eastAsia="宋体"/>
                <w:sz w:val="24"/>
                <w:szCs w:val="24"/>
              </w:rPr>
            </w:pPr>
            <w:r>
              <w:rPr>
                <w:rFonts w:hint="eastAsia" w:ascii="宋体" w:hAnsi="宋体" w:eastAsia="宋体"/>
                <w:sz w:val="24"/>
                <w:szCs w:val="24"/>
              </w:rPr>
              <w:t>5、江苏省第三届、第四届大学生艺术展演活动艺术作品展优秀指导教师奖，江苏省教育厅，2013、2014；</w:t>
            </w:r>
          </w:p>
          <w:p>
            <w:pPr>
              <w:pStyle w:val="3"/>
              <w:ind w:firstLine="456"/>
              <w:rPr>
                <w:rFonts w:hint="eastAsia" w:ascii="宋体" w:hAnsi="宋体" w:eastAsia="宋体"/>
                <w:sz w:val="24"/>
                <w:szCs w:val="24"/>
              </w:rPr>
            </w:pPr>
            <w:r>
              <w:rPr>
                <w:rFonts w:hint="eastAsia" w:ascii="宋体" w:hAnsi="宋体" w:eastAsia="宋体"/>
                <w:sz w:val="24"/>
                <w:szCs w:val="24"/>
              </w:rPr>
              <w:t>6、美术教育专业技能训练与创新人才培养探析，连云港师范高等专科学校学报，2011；</w:t>
            </w:r>
          </w:p>
          <w:p>
            <w:pPr>
              <w:pStyle w:val="3"/>
              <w:ind w:firstLine="456"/>
              <w:rPr>
                <w:rFonts w:hint="eastAsia" w:ascii="宋体" w:hAnsi="宋体" w:eastAsia="宋体"/>
                <w:sz w:val="24"/>
                <w:szCs w:val="24"/>
              </w:rPr>
            </w:pPr>
            <w:r>
              <w:rPr>
                <w:rFonts w:hint="eastAsia" w:ascii="宋体" w:hAnsi="宋体" w:eastAsia="宋体"/>
                <w:sz w:val="24"/>
                <w:szCs w:val="24"/>
              </w:rPr>
              <w:t>7、江苏省高职院校信息化教学大赛三等奖，2019；</w:t>
            </w:r>
          </w:p>
          <w:p>
            <w:pPr>
              <w:pStyle w:val="3"/>
              <w:ind w:firstLine="456"/>
              <w:rPr>
                <w:rFonts w:hint="eastAsia" w:ascii="宋体" w:hAnsi="宋体" w:eastAsia="宋体"/>
                <w:sz w:val="24"/>
                <w:szCs w:val="24"/>
              </w:rPr>
            </w:pPr>
            <w:r>
              <w:rPr>
                <w:rFonts w:hint="eastAsia" w:ascii="宋体" w:hAnsi="宋体" w:eastAsia="宋体"/>
                <w:sz w:val="24"/>
                <w:szCs w:val="24"/>
              </w:rPr>
              <w:t>8、江苏省高等学校重点教材《素描》教材主编，已出版使用，2019；</w:t>
            </w:r>
          </w:p>
          <w:p>
            <w:pPr>
              <w:pStyle w:val="3"/>
              <w:ind w:firstLine="456"/>
              <w:rPr>
                <w:rFonts w:hint="eastAsia" w:ascii="宋体" w:hAnsi="宋体" w:eastAsia="宋体"/>
                <w:sz w:val="24"/>
                <w:szCs w:val="24"/>
              </w:rPr>
            </w:pPr>
            <w:r>
              <w:rPr>
                <w:rFonts w:hint="eastAsia" w:ascii="宋体" w:hAnsi="宋体" w:eastAsia="宋体"/>
                <w:sz w:val="24"/>
                <w:szCs w:val="24"/>
              </w:rPr>
              <w:t>9、美术教育专业技能训练与创新人才培养探析，连云港师范高等专科学校学报，2012；</w:t>
            </w:r>
          </w:p>
          <w:p>
            <w:pPr>
              <w:pStyle w:val="3"/>
              <w:ind w:firstLine="456"/>
              <w:rPr>
                <w:rFonts w:hint="eastAsia" w:ascii="宋体" w:hAnsi="宋体" w:eastAsia="宋体"/>
                <w:sz w:val="24"/>
                <w:szCs w:val="24"/>
              </w:rPr>
            </w:pPr>
            <w:r>
              <w:rPr>
                <w:rFonts w:hint="eastAsia" w:ascii="宋体" w:hAnsi="宋体" w:eastAsia="宋体"/>
                <w:sz w:val="24"/>
                <w:szCs w:val="24"/>
              </w:rPr>
              <w:t>10、关于高校色彩风景写生教学的思考，连云港师范高等专科学校学报，2016（4）；</w:t>
            </w:r>
          </w:p>
          <w:p>
            <w:pPr>
              <w:pStyle w:val="3"/>
              <w:ind w:firstLine="456"/>
              <w:rPr>
                <w:rFonts w:hint="eastAsia" w:ascii="宋体" w:hAnsi="宋体" w:eastAsia="宋体"/>
                <w:sz w:val="24"/>
                <w:szCs w:val="24"/>
              </w:rPr>
            </w:pPr>
            <w:r>
              <w:rPr>
                <w:rFonts w:hint="eastAsia" w:ascii="宋体" w:hAnsi="宋体" w:eastAsia="宋体"/>
                <w:sz w:val="24"/>
                <w:szCs w:val="24"/>
              </w:rPr>
              <w:t>11、由当前美术教育的现状看美术人才的养成，神州，2021-05；</w:t>
            </w:r>
          </w:p>
          <w:p>
            <w:pPr>
              <w:pStyle w:val="3"/>
              <w:ind w:firstLine="456"/>
              <w:rPr>
                <w:rFonts w:hint="eastAsia" w:ascii="宋体" w:hAnsi="宋体" w:eastAsia="宋体"/>
                <w:sz w:val="24"/>
                <w:szCs w:val="24"/>
              </w:rPr>
            </w:pPr>
            <w:r>
              <w:rPr>
                <w:rFonts w:hint="eastAsia" w:ascii="宋体" w:hAnsi="宋体" w:eastAsia="宋体"/>
                <w:sz w:val="24"/>
                <w:szCs w:val="24"/>
              </w:rPr>
              <w:t>12、从艺术生态论看当代画家，科学与财富，2021-05；</w:t>
            </w:r>
          </w:p>
          <w:p>
            <w:pPr>
              <w:pStyle w:val="3"/>
              <w:ind w:firstLine="456"/>
              <w:rPr>
                <w:rFonts w:hint="eastAsia" w:ascii="宋体" w:hAnsi="宋体" w:eastAsia="宋体"/>
                <w:sz w:val="24"/>
                <w:szCs w:val="24"/>
              </w:rPr>
            </w:pPr>
            <w:r>
              <w:rPr>
                <w:rFonts w:hint="eastAsia" w:ascii="宋体" w:hAnsi="宋体" w:eastAsia="宋体"/>
                <w:sz w:val="24"/>
                <w:szCs w:val="24"/>
              </w:rPr>
              <w:t>本课题预期成果将以论文形式表现，了解目前疫情背景下高职院校线上课程的现状，针对存在问题，寻求解决的策略和方法。为以后突发状况下高职院校线上教学提供思路和解决途径。</w:t>
            </w:r>
          </w:p>
          <w:p>
            <w:pPr>
              <w:pStyle w:val="3"/>
              <w:ind w:firstLine="456"/>
              <w:rPr>
                <w:rFonts w:hint="eastAsia" w:ascii="宋体" w:hAnsi="宋体" w:eastAsia="宋体"/>
                <w:sz w:val="24"/>
                <w:szCs w:val="24"/>
              </w:rPr>
            </w:pPr>
            <w:r>
              <w:rPr>
                <w:rFonts w:hint="eastAsia" w:ascii="宋体" w:hAnsi="宋体" w:eastAsia="宋体"/>
                <w:sz w:val="24"/>
                <w:szCs w:val="24"/>
              </w:rPr>
              <w:t>课题团队学科背景丰富，团队成员具有副教授、中级职称，负责人研究水平较高、组织能力强、科研时间充裕，目前获得的科研资料齐全，所在单位行政、设备、经费充足，实训基地有充足的条件保障。</w:t>
            </w:r>
          </w:p>
          <w:p>
            <w:pPr>
              <w:pStyle w:val="3"/>
              <w:ind w:firstLine="456"/>
              <w:rPr>
                <w:rFonts w:ascii="宋体" w:hAnsi="宋体" w:eastAsia="宋体"/>
                <w:sz w:val="24"/>
                <w:szCs w:val="24"/>
              </w:rPr>
            </w:pPr>
            <w:r>
              <w:rPr>
                <w:rFonts w:hint="eastAsia" w:ascii="宋体" w:hAnsi="宋体" w:eastAsia="宋体"/>
                <w:sz w:val="24"/>
                <w:szCs w:val="24"/>
              </w:rPr>
              <w:t>四、主要参考文献</w:t>
            </w:r>
          </w:p>
          <w:p>
            <w:pPr>
              <w:pStyle w:val="3"/>
              <w:ind w:firstLine="456"/>
              <w:rPr>
                <w:rFonts w:ascii="宋体" w:hAnsi="宋体" w:eastAsia="宋体"/>
                <w:sz w:val="24"/>
                <w:szCs w:val="24"/>
              </w:rPr>
            </w:pPr>
            <w:r>
              <w:rPr>
                <w:rFonts w:hint="eastAsia" w:ascii="宋体" w:hAnsi="宋体" w:eastAsia="宋体"/>
                <w:sz w:val="24"/>
                <w:szCs w:val="24"/>
              </w:rPr>
              <w:t>[1]教育部.教育部印发指导意见《疫情防控期间做好高校在线教学组织与管理工作》[</w:t>
            </w:r>
            <w:r>
              <w:rPr>
                <w:rFonts w:ascii="宋体" w:hAnsi="宋体" w:eastAsia="宋体"/>
                <w:sz w:val="24"/>
                <w:szCs w:val="24"/>
              </w:rPr>
              <w:t>EB/OL].</w:t>
            </w:r>
            <w:r>
              <w:rPr>
                <w:rFonts w:hint="eastAsia" w:ascii="宋体" w:hAnsi="宋体" w:eastAsia="宋体"/>
                <w:sz w:val="24"/>
                <w:szCs w:val="24"/>
              </w:rPr>
              <w:t>（2020-02-</w:t>
            </w:r>
            <w:r>
              <w:rPr>
                <w:rFonts w:ascii="宋体" w:hAnsi="宋体" w:eastAsia="宋体"/>
                <w:sz w:val="24"/>
                <w:szCs w:val="24"/>
              </w:rPr>
              <w:t>05</w:t>
            </w:r>
            <w:r>
              <w:rPr>
                <w:rFonts w:hint="eastAsia" w:ascii="宋体" w:hAnsi="宋体" w:eastAsia="宋体"/>
                <w:sz w:val="24"/>
                <w:szCs w:val="24"/>
              </w:rPr>
              <w:t>）</w:t>
            </w:r>
          </w:p>
          <w:p>
            <w:pPr>
              <w:pStyle w:val="3"/>
              <w:ind w:firstLine="456"/>
              <w:rPr>
                <w:rFonts w:ascii="宋体" w:hAnsi="宋体" w:eastAsia="宋体"/>
                <w:sz w:val="24"/>
                <w:szCs w:val="24"/>
              </w:rPr>
            </w:pPr>
            <w:r>
              <w:rPr>
                <w:rFonts w:hint="eastAsia" w:ascii="宋体" w:hAnsi="宋体" w:eastAsia="宋体"/>
                <w:sz w:val="24"/>
                <w:szCs w:val="24"/>
              </w:rPr>
              <w:t>[2]焦建利，周晓清，陈泽璇.疫情防控背景下“停课不停学”在线教学案例研究[J/OL].中国电化教育，2020（3）:106-</w:t>
            </w:r>
            <w:r>
              <w:rPr>
                <w:rFonts w:ascii="宋体" w:hAnsi="宋体" w:eastAsia="宋体"/>
                <w:sz w:val="24"/>
                <w:szCs w:val="24"/>
              </w:rPr>
              <w:t>113.</w:t>
            </w:r>
          </w:p>
          <w:p>
            <w:pPr>
              <w:pStyle w:val="3"/>
              <w:ind w:firstLine="456"/>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陈冉.疫情下高职设计线上教学的困境，对策及思考[J].中国成人教育，2020-</w:t>
            </w:r>
            <w:r>
              <w:rPr>
                <w:rFonts w:ascii="宋体" w:hAnsi="宋体" w:eastAsia="宋体"/>
                <w:sz w:val="24"/>
                <w:szCs w:val="24"/>
              </w:rPr>
              <w:t>12.</w:t>
            </w:r>
          </w:p>
          <w:p>
            <w:pPr>
              <w:pStyle w:val="3"/>
              <w:ind w:firstLine="456"/>
              <w:rPr>
                <w:rFonts w:ascii="宋体" w:hAnsi="宋体" w:eastAsia="宋体"/>
                <w:sz w:val="24"/>
                <w:szCs w:val="24"/>
              </w:rPr>
            </w:pPr>
            <w:r>
              <w:rPr>
                <w:rFonts w:hint="eastAsia" w:ascii="宋体" w:hAnsi="宋体" w:eastAsia="宋体"/>
                <w:sz w:val="24"/>
                <w:szCs w:val="24"/>
              </w:rPr>
              <w:t>[4]杨海军，张惠萍，程鹏.新冠肺炎疫情期间高校在线教学探析[J].中国多媒体与网络教学学报（上旬刊）,</w:t>
            </w:r>
            <w:r>
              <w:rPr>
                <w:rFonts w:ascii="宋体" w:hAnsi="宋体" w:eastAsia="宋体"/>
                <w:sz w:val="24"/>
                <w:szCs w:val="24"/>
              </w:rPr>
              <w:t>2020</w:t>
            </w:r>
            <w:r>
              <w:rPr>
                <w:rFonts w:hint="eastAsia" w:ascii="宋体" w:hAnsi="宋体" w:eastAsia="宋体"/>
                <w:sz w:val="24"/>
                <w:szCs w:val="24"/>
              </w:rPr>
              <w:t>（4）:</w:t>
            </w:r>
            <w:r>
              <w:rPr>
                <w:rFonts w:ascii="宋体" w:hAnsi="宋体" w:eastAsia="宋体"/>
                <w:sz w:val="24"/>
                <w:szCs w:val="24"/>
              </w:rPr>
              <w:t>194-196.</w:t>
            </w:r>
          </w:p>
          <w:p>
            <w:pPr>
              <w:pStyle w:val="3"/>
              <w:ind w:firstLine="456"/>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王威.线上线下混合教学模式在《当地世界经济与政治》的应用[J].佳木斯职业学院学报，2020,36（2）:127-128.</w:t>
            </w:r>
          </w:p>
          <w:p>
            <w:pPr>
              <w:pStyle w:val="3"/>
              <w:ind w:firstLine="456"/>
              <w:rPr>
                <w:rFonts w:ascii="宋体" w:hAnsi="宋体" w:eastAsia="宋体"/>
                <w:sz w:val="24"/>
                <w:szCs w:val="24"/>
              </w:rPr>
            </w:pPr>
            <w:r>
              <w:rPr>
                <w:rFonts w:ascii="宋体" w:hAnsi="宋体" w:eastAsia="宋体"/>
                <w:sz w:val="24"/>
                <w:szCs w:val="24"/>
              </w:rPr>
              <w:t>[6]</w:t>
            </w:r>
            <w:r>
              <w:rPr>
                <w:rFonts w:hint="eastAsia" w:ascii="宋体" w:hAnsi="宋体" w:eastAsia="宋体"/>
                <w:sz w:val="24"/>
                <w:szCs w:val="24"/>
              </w:rPr>
              <w:t>肖学平.导学课堂教学模式[M].北京:北京师范大学出版社，2012.</w:t>
            </w:r>
          </w:p>
          <w:p>
            <w:pPr>
              <w:pStyle w:val="3"/>
              <w:ind w:firstLine="456"/>
              <w:rPr>
                <w:rFonts w:ascii="宋体" w:hAnsi="宋体" w:eastAsia="宋体"/>
                <w:sz w:val="24"/>
                <w:szCs w:val="24"/>
              </w:rPr>
            </w:pPr>
            <w:r>
              <w:rPr>
                <w:rFonts w:ascii="宋体" w:hAnsi="宋体" w:eastAsia="宋体"/>
                <w:sz w:val="24"/>
                <w:szCs w:val="24"/>
              </w:rPr>
              <w:t>[7]</w:t>
            </w:r>
            <w:r>
              <w:rPr>
                <w:rFonts w:hint="eastAsia" w:ascii="宋体" w:hAnsi="宋体" w:eastAsia="宋体"/>
                <w:sz w:val="24"/>
                <w:szCs w:val="24"/>
              </w:rPr>
              <w:t>孙翼.张文宏:“抗议前线，党员先上”[J].党员文摘，2020（Z1）:52-53.</w:t>
            </w:r>
          </w:p>
          <w:p>
            <w:pPr>
              <w:pStyle w:val="3"/>
              <w:ind w:firstLine="456"/>
              <w:rPr>
                <w:rFonts w:hint="eastAsia" w:ascii="宋体" w:hAnsi="宋体" w:eastAsia="宋体"/>
                <w:sz w:val="24"/>
                <w:szCs w:val="24"/>
              </w:rPr>
            </w:pPr>
            <w:r>
              <w:rPr>
                <w:rFonts w:ascii="宋体" w:hAnsi="宋体" w:eastAsia="宋体"/>
                <w:sz w:val="24"/>
                <w:szCs w:val="24"/>
              </w:rPr>
              <w:t>[8]</w:t>
            </w:r>
            <w:r>
              <w:rPr>
                <w:rFonts w:hint="eastAsia" w:ascii="宋体" w:hAnsi="宋体" w:eastAsia="宋体"/>
                <w:sz w:val="24"/>
                <w:szCs w:val="24"/>
              </w:rPr>
              <w:t>余淇.新冠疫情下高校在线教学的探索与思考[J].管理观察，2020,25:141-142</w:t>
            </w:r>
            <w:r>
              <w:rPr>
                <w:rFonts w:ascii="宋体" w:hAnsi="宋体" w:eastAsia="宋体"/>
                <w:sz w:val="24"/>
                <w:szCs w:val="24"/>
              </w:rPr>
              <w:t>.</w:t>
            </w:r>
          </w:p>
        </w:tc>
      </w:tr>
    </w:tbl>
    <w:p>
      <w:pPr>
        <w:rPr>
          <w:rFonts w:eastAsia="黑体"/>
          <w:sz w:val="28"/>
          <w:szCs w:val="28"/>
        </w:rPr>
      </w:pPr>
    </w:p>
    <w:p>
      <w:pPr>
        <w:rPr>
          <w:rFonts w:eastAsia="黑体"/>
          <w:sz w:val="28"/>
          <w:szCs w:val="28"/>
        </w:rPr>
      </w:pPr>
      <w:r>
        <w:rPr>
          <w:rFonts w:eastAsia="黑体"/>
          <w:sz w:val="28"/>
          <w:szCs w:val="28"/>
        </w:rPr>
        <w:t>三、课题负责人正在承担的各类课题</w:t>
      </w:r>
    </w:p>
    <w:tbl>
      <w:tblPr>
        <w:tblStyle w:val="7"/>
        <w:tblW w:w="948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3813"/>
        <w:gridCol w:w="2415"/>
        <w:gridCol w:w="21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1135" w:type="dxa"/>
            <w:tcBorders>
              <w:top w:val="single" w:color="auto" w:sz="4" w:space="0"/>
              <w:bottom w:val="single" w:color="auto" w:sz="4" w:space="0"/>
              <w:right w:val="single" w:color="auto" w:sz="4" w:space="0"/>
            </w:tcBorders>
            <w:vAlign w:val="center"/>
          </w:tcPr>
          <w:p>
            <w:pPr>
              <w:jc w:val="center"/>
            </w:pPr>
            <w:r>
              <w:t>序号</w:t>
            </w: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r>
              <w:t>课题名称</w:t>
            </w:r>
          </w:p>
        </w:tc>
        <w:tc>
          <w:tcPr>
            <w:tcW w:w="2415" w:type="dxa"/>
            <w:tcBorders>
              <w:top w:val="single" w:color="auto" w:sz="4" w:space="0"/>
              <w:left w:val="single" w:color="auto" w:sz="4" w:space="0"/>
              <w:bottom w:val="single" w:color="auto" w:sz="4" w:space="0"/>
              <w:right w:val="single" w:color="auto" w:sz="4" w:space="0"/>
            </w:tcBorders>
            <w:vAlign w:val="center"/>
          </w:tcPr>
          <w:p>
            <w:pPr>
              <w:jc w:val="center"/>
            </w:pPr>
            <w:r>
              <w:t>下达部门</w:t>
            </w:r>
          </w:p>
        </w:tc>
        <w:tc>
          <w:tcPr>
            <w:tcW w:w="2119" w:type="dxa"/>
            <w:tcBorders>
              <w:top w:val="single" w:color="auto" w:sz="4" w:space="0"/>
              <w:left w:val="single" w:color="auto" w:sz="4" w:space="0"/>
              <w:bottom w:val="single" w:color="auto" w:sz="4" w:space="0"/>
            </w:tcBorders>
            <w:vAlign w:val="center"/>
          </w:tcPr>
          <w:p>
            <w:pPr>
              <w:widowControl/>
              <w:jc w:val="center"/>
            </w:pPr>
            <w:r>
              <w:t>资助经费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135" w:type="dxa"/>
            <w:tcBorders>
              <w:top w:val="single" w:color="auto" w:sz="4" w:space="0"/>
              <w:bottom w:val="single" w:color="auto" w:sz="4" w:space="0"/>
              <w:right w:val="single" w:color="auto" w:sz="4" w:space="0"/>
            </w:tcBorders>
            <w:vAlign w:val="center"/>
          </w:tcPr>
          <w:p>
            <w:pPr>
              <w:jc w:val="center"/>
            </w:pP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p>
        </w:tc>
        <w:tc>
          <w:tcPr>
            <w:tcW w:w="2415" w:type="dxa"/>
            <w:tcBorders>
              <w:top w:val="single" w:color="auto" w:sz="4" w:space="0"/>
              <w:left w:val="single" w:color="auto" w:sz="4" w:space="0"/>
              <w:bottom w:val="single" w:color="auto" w:sz="4" w:space="0"/>
              <w:right w:val="single" w:color="auto" w:sz="4" w:space="0"/>
            </w:tcBorders>
            <w:vAlign w:val="center"/>
          </w:tcPr>
          <w:p>
            <w:pPr>
              <w:jc w:val="center"/>
            </w:pPr>
          </w:p>
        </w:tc>
        <w:tc>
          <w:tcPr>
            <w:tcW w:w="2119"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bl>
    <w:p>
      <w:pPr>
        <w:rPr>
          <w:rFonts w:eastAsia="黑体"/>
          <w:sz w:val="28"/>
          <w:szCs w:val="28"/>
        </w:rPr>
      </w:pPr>
    </w:p>
    <w:p>
      <w:pPr>
        <w:rPr>
          <w:rFonts w:eastAsia="黑体"/>
          <w:sz w:val="28"/>
          <w:szCs w:val="28"/>
        </w:rPr>
      </w:pPr>
      <w:r>
        <w:rPr>
          <w:rFonts w:eastAsia="黑体"/>
          <w:sz w:val="28"/>
          <w:szCs w:val="28"/>
        </w:rPr>
        <w:t>四、预期研究成果</w:t>
      </w:r>
    </w:p>
    <w:tbl>
      <w:tblPr>
        <w:tblStyle w:val="7"/>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707"/>
        <w:gridCol w:w="430"/>
        <w:gridCol w:w="1756"/>
        <w:gridCol w:w="1103"/>
        <w:gridCol w:w="2122"/>
        <w:gridCol w:w="1061"/>
        <w:gridCol w:w="11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主要阶段性成果限报5项</w:t>
            </w: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序号</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r>
              <w:t>研究阶段（起止时间）</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t>阶段成果名称</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178" w:type="dxa"/>
            <w:tcBorders>
              <w:top w:val="single" w:color="auto" w:sz="4" w:space="0"/>
              <w:left w:val="single" w:color="auto" w:sz="4" w:space="0"/>
              <w:bottom w:val="single" w:color="auto" w:sz="4" w:space="0"/>
            </w:tcBorders>
            <w:vAlign w:val="center"/>
          </w:tcPr>
          <w:p>
            <w:pPr>
              <w:jc w:val="center"/>
            </w:pPr>
            <w:r>
              <w:t>承担人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2022.06-</w:t>
            </w:r>
            <w:r>
              <w:t>2023.02</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疫情下高职实训课程在线教学的探索与反思</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论文</w:t>
            </w:r>
          </w:p>
        </w:tc>
        <w:tc>
          <w:tcPr>
            <w:tcW w:w="1178" w:type="dxa"/>
            <w:tcBorders>
              <w:top w:val="single" w:color="auto" w:sz="4" w:space="0"/>
              <w:left w:val="single" w:color="auto" w:sz="4" w:space="0"/>
              <w:bottom w:val="single" w:color="auto" w:sz="4" w:space="0"/>
            </w:tcBorders>
            <w:vAlign w:val="center"/>
          </w:tcPr>
          <w:p>
            <w:pPr>
              <w:jc w:val="center"/>
            </w:pPr>
            <w:r>
              <w:rPr>
                <w:rFonts w:hint="eastAsia"/>
              </w:rPr>
              <w:t>马舒婷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2023.03-</w:t>
            </w:r>
            <w:r>
              <w:t>2023.06</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疫情防控背景下高职院校线上教学改革研究</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论文</w:t>
            </w:r>
          </w:p>
        </w:tc>
        <w:tc>
          <w:tcPr>
            <w:tcW w:w="1178" w:type="dxa"/>
            <w:tcBorders>
              <w:top w:val="single" w:color="auto" w:sz="4" w:space="0"/>
              <w:left w:val="single" w:color="auto" w:sz="4" w:space="0"/>
              <w:bottom w:val="single" w:color="auto" w:sz="4" w:space="0"/>
            </w:tcBorders>
            <w:vAlign w:val="center"/>
          </w:tcPr>
          <w:p>
            <w:pPr>
              <w:jc w:val="center"/>
              <w:rPr>
                <w:rFonts w:hint="eastAsia"/>
              </w:rPr>
            </w:pPr>
            <w:r>
              <w:rPr>
                <w:rFonts w:hint="eastAsia"/>
              </w:rPr>
              <w:t>马舒婷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4"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最终研究成果限报1项</w:t>
            </w: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pPr>
            <w:r>
              <w:t>完成时间</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t>最终成果名称</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预计字数</w:t>
            </w:r>
          </w:p>
        </w:tc>
        <w:tc>
          <w:tcPr>
            <w:tcW w:w="1178" w:type="dxa"/>
            <w:tcBorders>
              <w:top w:val="single" w:color="auto" w:sz="4" w:space="0"/>
              <w:left w:val="single" w:color="auto" w:sz="4" w:space="0"/>
              <w:bottom w:val="single" w:color="auto" w:sz="4" w:space="0"/>
            </w:tcBorders>
            <w:vAlign w:val="center"/>
          </w:tcPr>
          <w:p>
            <w:pPr>
              <w:jc w:val="center"/>
            </w:pPr>
            <w:r>
              <w:t>参加人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16"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202</w:t>
            </w:r>
            <w:r>
              <w:t>3</w:t>
            </w:r>
            <w:r>
              <w:rPr>
                <w:rFonts w:hint="eastAsia"/>
              </w:rPr>
              <w:t>.06</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疫情防控背景下高职院校线上教学改革研究</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论文</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5000</w:t>
            </w:r>
          </w:p>
        </w:tc>
        <w:tc>
          <w:tcPr>
            <w:tcW w:w="1178" w:type="dxa"/>
            <w:tcBorders>
              <w:top w:val="single" w:color="auto" w:sz="4" w:space="0"/>
              <w:left w:val="single" w:color="auto" w:sz="4" w:space="0"/>
              <w:bottom w:val="single" w:color="auto" w:sz="4" w:space="0"/>
            </w:tcBorders>
            <w:vAlign w:val="center"/>
          </w:tcPr>
          <w:p>
            <w:pPr>
              <w:jc w:val="center"/>
              <w:rPr>
                <w:rFonts w:hint="eastAsia"/>
              </w:rPr>
            </w:pPr>
            <w:r>
              <w:rPr>
                <w:rFonts w:hint="eastAsia"/>
              </w:rPr>
              <w:t>马舒婷</w:t>
            </w:r>
          </w:p>
        </w:tc>
      </w:tr>
    </w:tbl>
    <w:p>
      <w:pPr>
        <w:rPr>
          <w:rFonts w:eastAsia="黑体"/>
          <w:sz w:val="28"/>
          <w:szCs w:val="28"/>
        </w:rPr>
      </w:pPr>
    </w:p>
    <w:p>
      <w:pPr>
        <w:rPr>
          <w:rFonts w:eastAsia="黑体"/>
          <w:sz w:val="28"/>
          <w:szCs w:val="28"/>
        </w:rPr>
      </w:pPr>
      <w:r>
        <w:rPr>
          <w:rFonts w:eastAsia="黑体"/>
          <w:sz w:val="28"/>
          <w:szCs w:val="28"/>
        </w:rPr>
        <w:t>五、经费预算</w:t>
      </w:r>
    </w:p>
    <w:tbl>
      <w:tblPr>
        <w:tblStyle w:val="7"/>
        <w:tblW w:w="9461"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6"/>
        <w:gridCol w:w="1353"/>
        <w:gridCol w:w="637"/>
        <w:gridCol w:w="887"/>
        <w:gridCol w:w="1524"/>
        <w:gridCol w:w="1524"/>
        <w:gridCol w:w="25"/>
        <w:gridCol w:w="28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序号</w:t>
            </w:r>
          </w:p>
        </w:tc>
        <w:tc>
          <w:tcPr>
            <w:tcW w:w="1990" w:type="dxa"/>
            <w:gridSpan w:val="2"/>
            <w:tcBorders>
              <w:top w:val="single" w:color="auto" w:sz="4" w:space="0"/>
              <w:left w:val="single" w:color="auto" w:sz="4" w:space="0"/>
              <w:bottom w:val="single" w:color="auto" w:sz="4" w:space="0"/>
              <w:right w:val="single" w:color="auto" w:sz="4" w:space="0"/>
            </w:tcBorders>
            <w:vAlign w:val="center"/>
          </w:tcPr>
          <w:p>
            <w:pPr>
              <w:jc w:val="center"/>
            </w:pPr>
            <w:r>
              <w:t>经费开支科目</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t>经费预算</w:t>
            </w:r>
          </w:p>
        </w:tc>
        <w:tc>
          <w:tcPr>
            <w:tcW w:w="2825" w:type="dxa"/>
            <w:tcBorders>
              <w:top w:val="single" w:color="auto" w:sz="4" w:space="0"/>
              <w:left w:val="single" w:color="auto" w:sz="4" w:space="0"/>
              <w:bottom w:val="single" w:color="auto" w:sz="4" w:space="0"/>
            </w:tcBorders>
            <w:vAlign w:val="center"/>
          </w:tcPr>
          <w:p>
            <w:pPr>
              <w:jc w:val="center"/>
            </w:pPr>
            <w:r>
              <w:t>金额（元）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1</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资料费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购买书籍、下载资料</w:t>
            </w:r>
          </w:p>
        </w:tc>
        <w:tc>
          <w:tcPr>
            <w:tcW w:w="2825" w:type="dxa"/>
            <w:tcBorders>
              <w:top w:val="single" w:color="auto" w:sz="4" w:space="0"/>
              <w:left w:val="single" w:color="auto" w:sz="4" w:space="0"/>
              <w:bottom w:val="single" w:color="auto" w:sz="4" w:space="0"/>
            </w:tcBorders>
            <w:vAlign w:val="center"/>
          </w:tcPr>
          <w:p>
            <w:pPr>
              <w:jc w:val="center"/>
            </w:pPr>
            <w:r>
              <w:rPr>
                <w:rFonts w:hint="eastAsia"/>
              </w:rPr>
              <w:t>300元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2</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国内调研差旅费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信息化教学培训</w:t>
            </w:r>
          </w:p>
        </w:tc>
        <w:tc>
          <w:tcPr>
            <w:tcW w:w="2825" w:type="dxa"/>
            <w:tcBorders>
              <w:top w:val="single" w:color="auto" w:sz="4" w:space="0"/>
              <w:left w:val="single" w:color="auto" w:sz="4" w:space="0"/>
              <w:bottom w:val="single" w:color="auto" w:sz="4" w:space="0"/>
            </w:tcBorders>
            <w:vAlign w:val="center"/>
          </w:tcPr>
          <w:p>
            <w:pPr>
              <w:jc w:val="center"/>
            </w:pPr>
            <w:r>
              <w:rPr>
                <w:rFonts w:hint="eastAsia"/>
              </w:rPr>
              <w:t>2000元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3</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小型会议费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无</w:t>
            </w: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4</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计算机使用费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购买移动硬盘</w:t>
            </w:r>
          </w:p>
        </w:tc>
        <w:tc>
          <w:tcPr>
            <w:tcW w:w="2825" w:type="dxa"/>
            <w:tcBorders>
              <w:top w:val="single" w:color="auto" w:sz="4" w:space="0"/>
              <w:left w:val="single" w:color="auto" w:sz="4" w:space="0"/>
              <w:bottom w:val="single" w:color="auto" w:sz="4" w:space="0"/>
            </w:tcBorders>
            <w:vAlign w:val="center"/>
          </w:tcPr>
          <w:p>
            <w:pPr>
              <w:jc w:val="center"/>
            </w:pPr>
            <w:r>
              <w:rPr>
                <w:rFonts w:hint="eastAsia"/>
              </w:rPr>
              <w:t>200元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5</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印刷费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打印相关材料</w:t>
            </w:r>
          </w:p>
        </w:tc>
        <w:tc>
          <w:tcPr>
            <w:tcW w:w="2825" w:type="dxa"/>
            <w:tcBorders>
              <w:top w:val="single" w:color="auto" w:sz="4" w:space="0"/>
              <w:left w:val="single" w:color="auto" w:sz="4" w:space="0"/>
              <w:bottom w:val="single" w:color="auto" w:sz="4" w:space="0"/>
            </w:tcBorders>
            <w:vAlign w:val="center"/>
          </w:tcPr>
          <w:p>
            <w:pPr>
              <w:jc w:val="center"/>
            </w:pPr>
            <w:r>
              <w:rPr>
                <w:rFonts w:hint="eastAsia"/>
              </w:rPr>
              <w:t>200元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6</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管理费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无</w:t>
            </w: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7</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成果鉴定费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论文发表版面费</w:t>
            </w:r>
          </w:p>
        </w:tc>
        <w:tc>
          <w:tcPr>
            <w:tcW w:w="2825" w:type="dxa"/>
            <w:tcBorders>
              <w:top w:val="single" w:color="auto" w:sz="4" w:space="0"/>
              <w:left w:val="single" w:color="auto" w:sz="4" w:space="0"/>
              <w:bottom w:val="single" w:color="auto" w:sz="4" w:space="0"/>
            </w:tcBorders>
            <w:vAlign w:val="center"/>
          </w:tcPr>
          <w:p>
            <w:pPr>
              <w:jc w:val="center"/>
            </w:pPr>
            <w:r>
              <w:rPr>
                <w:rFonts w:hint="eastAsia"/>
              </w:rPr>
              <w:t>5000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8</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其他</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无</w:t>
            </w: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676" w:type="dxa"/>
            <w:gridSpan w:val="3"/>
            <w:tcBorders>
              <w:top w:val="single" w:color="auto" w:sz="4" w:space="0"/>
              <w:bottom w:val="single" w:color="auto" w:sz="4" w:space="0"/>
              <w:right w:val="single" w:color="auto" w:sz="4" w:space="0"/>
            </w:tcBorders>
            <w:vAlign w:val="center"/>
          </w:tcPr>
          <w:p>
            <w:pPr>
              <w:jc w:val="center"/>
            </w:pPr>
            <w:r>
              <w:t>合计</w:t>
            </w:r>
          </w:p>
        </w:tc>
        <w:tc>
          <w:tcPr>
            <w:tcW w:w="6785" w:type="dxa"/>
            <w:gridSpan w:val="5"/>
            <w:tcBorders>
              <w:top w:val="single" w:color="auto" w:sz="4" w:space="0"/>
              <w:left w:val="single" w:color="auto" w:sz="4" w:space="0"/>
              <w:bottom w:val="single" w:color="auto" w:sz="4" w:space="0"/>
            </w:tcBorders>
            <w:vAlign w:val="center"/>
          </w:tcPr>
          <w:p>
            <w:pPr>
              <w:jc w:val="right"/>
            </w:pPr>
            <w:r>
              <w:rPr>
                <w:rFonts w:hint="eastAsia"/>
              </w:rPr>
              <w:t>7700</w:t>
            </w:r>
            <w: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686" w:type="dxa"/>
            <w:vMerge w:val="restart"/>
            <w:tcBorders>
              <w:top w:val="single" w:color="auto" w:sz="4" w:space="0"/>
              <w:bottom w:val="single" w:color="auto" w:sz="4" w:space="0"/>
              <w:right w:val="single" w:color="auto" w:sz="4" w:space="0"/>
            </w:tcBorders>
            <w:vAlign w:val="center"/>
          </w:tcPr>
          <w:p>
            <w:pPr>
              <w:jc w:val="center"/>
            </w:pPr>
            <w:r>
              <w:t>年度</w:t>
            </w:r>
          </w:p>
          <w:p>
            <w:pPr>
              <w:jc w:val="center"/>
            </w:pPr>
            <w:r>
              <w:t>预算</w:t>
            </w:r>
          </w:p>
        </w:tc>
        <w:tc>
          <w:tcPr>
            <w:tcW w:w="1353" w:type="dxa"/>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pPr>
            <w:r>
              <w:t>2023年</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4" w:hRule="atLeast"/>
        </w:trPr>
        <w:tc>
          <w:tcPr>
            <w:tcW w:w="686" w:type="dxa"/>
            <w:vMerge w:val="continue"/>
            <w:tcBorders>
              <w:top w:val="single" w:color="auto" w:sz="4" w:space="0"/>
              <w:bottom w:val="single" w:color="auto" w:sz="4" w:space="0"/>
              <w:right w:val="single" w:color="auto" w:sz="4" w:space="0"/>
            </w:tcBorders>
            <w:vAlign w:val="center"/>
          </w:tcPr>
          <w:p>
            <w:pPr>
              <w:widowControl/>
              <w:jc w:val="left"/>
            </w:pPr>
          </w:p>
        </w:tc>
        <w:tc>
          <w:tcPr>
            <w:tcW w:w="135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2700元</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5000元</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其他经费来源</w:t>
            </w:r>
          </w:p>
        </w:tc>
        <w:tc>
          <w:tcPr>
            <w:tcW w:w="7422" w:type="dxa"/>
            <w:gridSpan w:val="6"/>
            <w:tcBorders>
              <w:top w:val="single" w:color="auto" w:sz="4" w:space="0"/>
              <w:left w:val="single" w:color="auto" w:sz="4" w:space="0"/>
              <w:bottom w:val="single" w:color="auto" w:sz="4" w:space="0"/>
            </w:tcBorders>
            <w:vAlign w:val="bottom"/>
          </w:tcPr>
          <w:p>
            <w:pPr>
              <w:spacing w:after="156"/>
            </w:pPr>
            <w:r>
              <w:t>注：如有其他经费来源，需由相关单位详细说明并盖章。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经费管理单位</w:t>
            </w:r>
          </w:p>
        </w:tc>
        <w:tc>
          <w:tcPr>
            <w:tcW w:w="7422" w:type="dxa"/>
            <w:gridSpan w:val="6"/>
            <w:tcBorders>
              <w:top w:val="single" w:color="auto" w:sz="4" w:space="0"/>
              <w:left w:val="single" w:color="auto" w:sz="4" w:space="0"/>
              <w:bottom w:val="single" w:color="auto" w:sz="4" w:space="0"/>
            </w:tcBorders>
            <w:vAlign w:val="bottom"/>
          </w:tcPr>
          <w:p>
            <w:pPr>
              <w:spacing w:after="156"/>
            </w:pPr>
            <w:r>
              <w:t>注：课题立项后，资助经费统一由课题负责人所在单位统一管理。</w:t>
            </w:r>
          </w:p>
        </w:tc>
      </w:tr>
    </w:tbl>
    <w:p>
      <w:pPr>
        <w:rPr>
          <w:rFonts w:eastAsia="黑体"/>
          <w:sz w:val="28"/>
          <w:szCs w:val="28"/>
        </w:rPr>
      </w:pPr>
      <w:r>
        <w:rPr>
          <w:rFonts w:eastAsia="黑体"/>
          <w:sz w:val="28"/>
          <w:szCs w:val="28"/>
        </w:rPr>
        <w:t>六、课题负责人所在单位审核意见</w:t>
      </w:r>
    </w:p>
    <w:tbl>
      <w:tblPr>
        <w:tblStyle w:val="7"/>
        <w:tblW w:w="9514"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56" w:hRule="atLeast"/>
        </w:trPr>
        <w:tc>
          <w:tcPr>
            <w:tcW w:w="9514" w:type="dxa"/>
            <w:tcBorders>
              <w:top w:val="single" w:color="auto" w:sz="4" w:space="0"/>
              <w:bottom w:val="single" w:color="auto" w:sz="4" w:space="0"/>
            </w:tcBorders>
          </w:tcPr>
          <w:p>
            <w:pPr>
              <w:spacing w:line="360" w:lineRule="auto"/>
              <w:ind w:firstLine="420"/>
            </w:pPr>
            <w:r>
              <w:t>1.申请书所填写的内容属实；</w:t>
            </w:r>
          </w:p>
          <w:p>
            <w:pPr>
              <w:spacing w:line="360" w:lineRule="auto"/>
              <w:ind w:firstLine="420"/>
            </w:pPr>
            <w:r>
              <w:t>2.该课题负责人和参加者的政治业务素质适合承担本课题的研究工作；</w:t>
            </w:r>
          </w:p>
          <w:p>
            <w:pPr>
              <w:spacing w:line="360" w:lineRule="auto"/>
              <w:ind w:firstLine="420"/>
            </w:pPr>
            <w:r>
              <w:t>3.本单位能提供完成本课题所需的时间和条件；</w:t>
            </w:r>
          </w:p>
          <w:p>
            <w:pPr>
              <w:spacing w:line="360" w:lineRule="auto"/>
              <w:ind w:firstLine="420"/>
            </w:pPr>
            <w:r>
              <w:t>4.本单位同意承担本项目的管理任务和信誉保证。</w:t>
            </w:r>
          </w:p>
          <w:p>
            <w:pPr>
              <w:spacing w:line="360" w:lineRule="auto"/>
            </w:pPr>
          </w:p>
          <w:p>
            <w:pPr>
              <w:spacing w:before="93" w:line="360" w:lineRule="auto"/>
              <w:ind w:firstLine="420"/>
            </w:pPr>
            <w:r>
              <w:t>单位科研管理部门公章单位公章</w:t>
            </w:r>
          </w:p>
          <w:p>
            <w:pPr>
              <w:spacing w:before="93" w:line="360" w:lineRule="auto"/>
              <w:ind w:firstLine="5670" w:firstLineChars="2700"/>
            </w:pPr>
            <w:r>
              <w:t>单位负责人签名</w:t>
            </w:r>
          </w:p>
          <w:p>
            <w:pPr>
              <w:spacing w:before="93" w:line="360" w:lineRule="auto"/>
              <w:ind w:firstLine="5880" w:firstLineChars="2800"/>
            </w:pPr>
            <w:r>
              <w:t>年月日</w:t>
            </w:r>
          </w:p>
        </w:tc>
      </w:tr>
    </w:tbl>
    <w:p>
      <w:pPr>
        <w:rPr>
          <w:rFonts w:eastAsia="黑体"/>
          <w:sz w:val="28"/>
          <w:szCs w:val="28"/>
        </w:rPr>
      </w:pPr>
    </w:p>
    <w:p>
      <w:pPr>
        <w:rPr>
          <w:rFonts w:eastAsia="黑体"/>
          <w:sz w:val="28"/>
          <w:szCs w:val="28"/>
        </w:rPr>
      </w:pPr>
      <w:r>
        <w:rPr>
          <w:rFonts w:eastAsia="黑体"/>
          <w:sz w:val="28"/>
          <w:szCs w:val="28"/>
        </w:rPr>
        <w:t>七、学科专家组评审意见</w:t>
      </w:r>
    </w:p>
    <w:tbl>
      <w:tblPr>
        <w:tblStyle w:val="7"/>
        <w:tblW w:w="9525"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4"/>
        <w:gridCol w:w="323"/>
        <w:gridCol w:w="1378"/>
        <w:gridCol w:w="1378"/>
        <w:gridCol w:w="1378"/>
        <w:gridCol w:w="1378"/>
        <w:gridCol w:w="27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学科组人数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实到人数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表决结果</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赞成票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反对票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弃权票</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033" w:type="dxa"/>
            <w:gridSpan w:val="4"/>
            <w:tcBorders>
              <w:top w:val="single" w:color="auto" w:sz="4" w:space="0"/>
              <w:bottom w:val="single" w:color="auto" w:sz="4" w:space="0"/>
              <w:right w:val="single" w:color="auto" w:sz="4" w:space="0"/>
            </w:tcBorders>
            <w:vAlign w:val="center"/>
          </w:tcPr>
          <w:p>
            <w:r>
              <w:t>建议资助金额（表决未通过此栏不填写）</w:t>
            </w:r>
          </w:p>
        </w:tc>
        <w:tc>
          <w:tcPr>
            <w:tcW w:w="5492" w:type="dxa"/>
            <w:gridSpan w:val="3"/>
            <w:tcBorders>
              <w:top w:val="single" w:color="auto" w:sz="4" w:space="0"/>
              <w:left w:val="single" w:color="auto" w:sz="4" w:space="0"/>
              <w:bottom w:val="single" w:color="auto" w:sz="4" w:space="0"/>
            </w:tcBorders>
            <w:vAlign w:val="center"/>
          </w:tcPr>
          <w:p>
            <w:pPr>
              <w:jc w:val="right"/>
            </w:pPr>
            <w: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78"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学科专家组建议立项意见</w:t>
            </w:r>
          </w:p>
        </w:tc>
        <w:tc>
          <w:tcPr>
            <w:tcW w:w="8571" w:type="dxa"/>
            <w:gridSpan w:val="6"/>
            <w:tcBorders>
              <w:top w:val="single" w:color="auto" w:sz="4" w:space="0"/>
              <w:left w:val="single" w:color="auto" w:sz="4" w:space="0"/>
              <w:bottom w:val="single" w:color="auto" w:sz="4" w:space="0"/>
            </w:tcBorders>
            <w:vAlign w:val="bottom"/>
          </w:tcPr>
          <w:p>
            <w:pPr>
              <w:ind w:firstLine="840" w:firstLineChars="400"/>
            </w:pPr>
            <w:r>
              <w:t>主审专家签字：学科组长签字：</w:t>
            </w:r>
          </w:p>
          <w:p>
            <w:pPr>
              <w:ind w:firstLine="1260" w:firstLineChars="600"/>
            </w:pPr>
          </w:p>
          <w:p>
            <w:pPr>
              <w:ind w:firstLine="1260" w:firstLineChars="600"/>
            </w:pPr>
            <w:r>
              <w:t>年月日年月日</w:t>
            </w:r>
          </w:p>
          <w:p>
            <w:pPr>
              <w:ind w:firstLine="126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2"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评审未通过原因</w:t>
            </w:r>
          </w:p>
        </w:tc>
        <w:tc>
          <w:tcPr>
            <w:tcW w:w="8571" w:type="dxa"/>
            <w:gridSpan w:val="6"/>
            <w:tcBorders>
              <w:top w:val="single" w:color="auto" w:sz="4" w:space="0"/>
              <w:left w:val="single" w:color="auto" w:sz="4" w:space="0"/>
              <w:bottom w:val="single" w:color="auto" w:sz="4" w:space="0"/>
            </w:tcBorders>
          </w:tcPr>
          <w:p/>
          <w:p>
            <w:pPr>
              <w:spacing w:line="360" w:lineRule="auto"/>
              <w:ind w:left="210" w:leftChars="100"/>
            </w:pPr>
            <w:r>
              <w:t>1.选题不当，不符合资助条件；</w:t>
            </w:r>
          </w:p>
          <w:p>
            <w:pPr>
              <w:spacing w:line="360" w:lineRule="auto"/>
              <w:ind w:left="210" w:leftChars="100"/>
            </w:pPr>
            <w:r>
              <w:t>2.课题论证没有创新；</w:t>
            </w:r>
          </w:p>
          <w:p>
            <w:pPr>
              <w:spacing w:line="360" w:lineRule="auto"/>
              <w:ind w:left="210" w:leftChars="100"/>
            </w:pPr>
            <w:r>
              <w:t>3.负责人的素质或水平不宜承担此项目；</w:t>
            </w:r>
          </w:p>
          <w:p>
            <w:pPr>
              <w:spacing w:line="360" w:lineRule="auto"/>
              <w:ind w:left="210" w:leftChars="100"/>
            </w:pPr>
            <w:r>
              <w:t>4.课题组力量不强或分工不当；</w:t>
            </w:r>
          </w:p>
          <w:p>
            <w:pPr>
              <w:spacing w:line="360" w:lineRule="auto"/>
              <w:ind w:left="210" w:leftChars="100"/>
            </w:pPr>
            <w:r>
              <w:t>5.资料准备不够；</w:t>
            </w:r>
          </w:p>
          <w:p>
            <w:pPr>
              <w:spacing w:line="360" w:lineRule="auto"/>
              <w:ind w:left="210" w:leftChars="100"/>
            </w:pPr>
            <w:r>
              <w:t>6.最终成果不明确；</w:t>
            </w:r>
          </w:p>
          <w:p>
            <w:pPr>
              <w:spacing w:line="360" w:lineRule="auto"/>
              <w:ind w:left="210" w:leftChars="100"/>
            </w:pPr>
            <w:r>
              <w:t>7.不具备完成课题所需的其他条件；</w:t>
            </w:r>
          </w:p>
          <w:p>
            <w:pPr>
              <w:spacing w:line="360" w:lineRule="auto"/>
              <w:ind w:left="210" w:leftChars="100"/>
            </w:pPr>
            <w:r>
              <w:t>8.经过比较，本课题有更适合的承担人；</w:t>
            </w:r>
          </w:p>
          <w:p>
            <w:pPr>
              <w:spacing w:line="360" w:lineRule="auto"/>
              <w:ind w:left="210" w:leftChars="100"/>
            </w:pPr>
            <w:r>
              <w:t>9.其他原因（加以说明）：</w:t>
            </w:r>
          </w:p>
        </w:tc>
      </w:tr>
    </w:tbl>
    <w:p>
      <w:pPr>
        <w:rPr>
          <w:rFonts w:eastAsia="黑体"/>
          <w:sz w:val="28"/>
          <w:szCs w:val="28"/>
        </w:rPr>
      </w:pPr>
    </w:p>
    <w:p>
      <w:pPr>
        <w:rPr>
          <w:rFonts w:eastAsia="黑体"/>
          <w:sz w:val="28"/>
          <w:szCs w:val="28"/>
        </w:rPr>
      </w:pPr>
      <w:r>
        <w:rPr>
          <w:rFonts w:eastAsia="黑体"/>
          <w:sz w:val="28"/>
          <w:szCs w:val="28"/>
        </w:rPr>
        <w:t>八、市哲学社会科学规划领导小组办公室意见</w:t>
      </w:r>
    </w:p>
    <w:tbl>
      <w:tblPr>
        <w:tblStyle w:val="7"/>
        <w:tblW w:w="9450"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36"/>
        <w:gridCol w:w="2520"/>
        <w:gridCol w:w="720"/>
        <w:gridCol w:w="1379"/>
        <w:gridCol w:w="601"/>
        <w:gridCol w:w="20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36" w:type="dxa"/>
            <w:tcBorders>
              <w:top w:val="single" w:color="auto" w:sz="4" w:space="0"/>
              <w:bottom w:val="single" w:color="auto" w:sz="4" w:space="0"/>
              <w:right w:val="single" w:color="auto" w:sz="4" w:space="0"/>
            </w:tcBorders>
            <w:vAlign w:val="center"/>
          </w:tcPr>
          <w:p>
            <w:pPr>
              <w:jc w:val="center"/>
            </w:pPr>
            <w:r>
              <w:t>批准资助金额</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t>元</w:t>
            </w:r>
          </w:p>
        </w:tc>
        <w:tc>
          <w:tcPr>
            <w:tcW w:w="1379" w:type="dxa"/>
            <w:tcBorders>
              <w:top w:val="single" w:color="auto" w:sz="4" w:space="0"/>
              <w:left w:val="single" w:color="auto" w:sz="4" w:space="0"/>
              <w:bottom w:val="single" w:color="auto" w:sz="4" w:space="0"/>
              <w:right w:val="single" w:color="auto" w:sz="4" w:space="0"/>
            </w:tcBorders>
            <w:vAlign w:val="center"/>
          </w:tcPr>
          <w:p>
            <w:pPr>
              <w:jc w:val="center"/>
            </w:pPr>
            <w:r>
              <w:t>拨款次数</w:t>
            </w:r>
          </w:p>
        </w:tc>
        <w:tc>
          <w:tcPr>
            <w:tcW w:w="2695" w:type="dxa"/>
            <w:gridSpan w:val="2"/>
            <w:tcBorders>
              <w:top w:val="single" w:color="auto" w:sz="4" w:space="0"/>
              <w:left w:val="single" w:color="auto" w:sz="4" w:space="0"/>
              <w:bottom w:val="single" w:color="auto" w:sz="4" w:space="0"/>
            </w:tcBorders>
            <w:vAlign w:val="center"/>
          </w:tcPr>
          <w:p>
            <w:pPr>
              <w:jc w:val="center"/>
            </w:pPr>
            <w:r>
              <w:t>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136" w:type="dxa"/>
            <w:vMerge w:val="restart"/>
            <w:tcBorders>
              <w:top w:val="single" w:color="auto" w:sz="4" w:space="0"/>
              <w:bottom w:val="single" w:color="auto" w:sz="4" w:space="0"/>
              <w:right w:val="single" w:color="auto" w:sz="4" w:space="0"/>
            </w:tcBorders>
            <w:vAlign w:val="center"/>
          </w:tcPr>
          <w:p>
            <w:pPr>
              <w:spacing w:line="480" w:lineRule="auto"/>
              <w:jc w:val="center"/>
            </w:pPr>
            <w:r>
              <w:t>年度拨</w:t>
            </w:r>
          </w:p>
          <w:p>
            <w:pPr>
              <w:spacing w:line="480" w:lineRule="auto"/>
              <w:jc w:val="center"/>
            </w:pPr>
            <w:r>
              <w:t>款计划</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r>
              <w:t>2021年</w:t>
            </w: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136" w:type="dxa"/>
            <w:vMerge w:val="continue"/>
            <w:tcBorders>
              <w:top w:val="single" w:color="auto" w:sz="4" w:space="0"/>
              <w:bottom w:val="single" w:color="auto" w:sz="4" w:space="0"/>
              <w:right w:val="single" w:color="auto" w:sz="4" w:space="0"/>
            </w:tcBorders>
            <w:vAlign w:val="center"/>
          </w:tcPr>
          <w:p>
            <w:pPr>
              <w:widowControl/>
              <w:jc w:val="left"/>
            </w:pP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9450" w:type="dxa"/>
            <w:gridSpan w:val="6"/>
            <w:tcBorders>
              <w:top w:val="single" w:color="auto" w:sz="4" w:space="0"/>
              <w:bottom w:val="single" w:color="auto" w:sz="4" w:space="0"/>
            </w:tcBorders>
          </w:tcPr>
          <w:p/>
          <w:p>
            <w:r>
              <w:t>市哲学社会科学规划领导小组办公室意见：</w:t>
            </w:r>
          </w:p>
          <w:p/>
          <w:p/>
          <w:p/>
          <w:p/>
          <w:p/>
          <w:p>
            <w:pPr>
              <w:ind w:firstLine="1680" w:firstLineChars="800"/>
            </w:pPr>
            <w:r>
              <w:t>公章负责人签字：</w:t>
            </w:r>
          </w:p>
          <w:p/>
          <w:p>
            <w:pPr>
              <w:jc w:val="center"/>
            </w:pPr>
            <w:r>
              <w:t>年</w:t>
            </w:r>
            <w:r>
              <w:rPr>
                <w:rFonts w:hint="eastAsia"/>
              </w:rPr>
              <w:t xml:space="preserve"> </w:t>
            </w:r>
            <w:r>
              <w:t>月</w:t>
            </w:r>
            <w:r>
              <w:rPr>
                <w:rFonts w:hint="eastAsia"/>
              </w:rPr>
              <w:t xml:space="preserve"> </w:t>
            </w:r>
            <w:r>
              <w:t>日</w:t>
            </w:r>
          </w:p>
        </w:tc>
      </w:tr>
    </w:tbl>
    <w:p/>
    <w:p/>
    <w:p>
      <w:pPr>
        <w:spacing w:line="560" w:lineRule="exact"/>
        <w:jc w:val="left"/>
        <w:rPr>
          <w:rFonts w:eastAsia="华文楷体"/>
          <w:sz w:val="32"/>
          <w:szCs w:val="32"/>
        </w:rPr>
      </w:pPr>
    </w:p>
    <w:p>
      <w:pPr>
        <w:spacing w:line="560" w:lineRule="exact"/>
        <w:jc w:val="left"/>
        <w:rPr>
          <w:rFonts w:eastAsia="黑体"/>
          <w:sz w:val="32"/>
          <w:szCs w:val="32"/>
        </w:rPr>
      </w:pPr>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0000000000000000000"/>
    <w:charset w:val="86"/>
    <w:family w:val="auto"/>
    <w:pitch w:val="default"/>
    <w:sig w:usb0="00000000" w:usb1="00000000" w:usb2="00000000" w:usb3="00000000" w:csb0="0004009F" w:csb1="DFD7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12</w:t>
    </w:r>
    <w:r>
      <w:rPr>
        <w:sz w:val="30"/>
        <w:szCs w:val="30"/>
      </w:rPr>
      <w:fldChar w:fldCharType="end"/>
    </w:r>
    <w:r>
      <w:rPr>
        <w:sz w:val="30"/>
        <w:szCs w:val="30"/>
      </w:rPr>
      <w:t>—</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ZjUyNDI2NWIwOTQ0OTg5MzBmOWYzODdlMzU5ODgifQ=="/>
  </w:docVars>
  <w:rsids>
    <w:rsidRoot w:val="74A33FCD"/>
    <w:rsid w:val="00003BED"/>
    <w:rsid w:val="0001248B"/>
    <w:rsid w:val="00051DED"/>
    <w:rsid w:val="000B0E72"/>
    <w:rsid w:val="001479F4"/>
    <w:rsid w:val="001B735D"/>
    <w:rsid w:val="001D3E99"/>
    <w:rsid w:val="001E545E"/>
    <w:rsid w:val="00215B6C"/>
    <w:rsid w:val="00247ADA"/>
    <w:rsid w:val="00262DE6"/>
    <w:rsid w:val="0028478C"/>
    <w:rsid w:val="002D2736"/>
    <w:rsid w:val="002E4475"/>
    <w:rsid w:val="0030587B"/>
    <w:rsid w:val="00316F46"/>
    <w:rsid w:val="00343C0B"/>
    <w:rsid w:val="00346AE4"/>
    <w:rsid w:val="00384096"/>
    <w:rsid w:val="0039428C"/>
    <w:rsid w:val="003A2076"/>
    <w:rsid w:val="003D0B09"/>
    <w:rsid w:val="0043779F"/>
    <w:rsid w:val="0048227A"/>
    <w:rsid w:val="00501F30"/>
    <w:rsid w:val="005249A8"/>
    <w:rsid w:val="005508E3"/>
    <w:rsid w:val="005A7EE5"/>
    <w:rsid w:val="005D1511"/>
    <w:rsid w:val="00600569"/>
    <w:rsid w:val="00602F53"/>
    <w:rsid w:val="00606BC8"/>
    <w:rsid w:val="006C413B"/>
    <w:rsid w:val="0073008B"/>
    <w:rsid w:val="00802F6E"/>
    <w:rsid w:val="00871F22"/>
    <w:rsid w:val="008B695C"/>
    <w:rsid w:val="008C1C2B"/>
    <w:rsid w:val="008C59C6"/>
    <w:rsid w:val="008D03AF"/>
    <w:rsid w:val="008E496A"/>
    <w:rsid w:val="009609EE"/>
    <w:rsid w:val="00990A30"/>
    <w:rsid w:val="009D4110"/>
    <w:rsid w:val="009D4FDB"/>
    <w:rsid w:val="009F53C8"/>
    <w:rsid w:val="00B10978"/>
    <w:rsid w:val="00B44B9F"/>
    <w:rsid w:val="00BC59DE"/>
    <w:rsid w:val="00C03C43"/>
    <w:rsid w:val="00C23E55"/>
    <w:rsid w:val="00C472D6"/>
    <w:rsid w:val="00C6598F"/>
    <w:rsid w:val="00C675F0"/>
    <w:rsid w:val="00C7696D"/>
    <w:rsid w:val="00C93B92"/>
    <w:rsid w:val="00C95ACC"/>
    <w:rsid w:val="00CA48AD"/>
    <w:rsid w:val="00D130E2"/>
    <w:rsid w:val="00D31726"/>
    <w:rsid w:val="00D774BE"/>
    <w:rsid w:val="00DA2003"/>
    <w:rsid w:val="00DE5A5A"/>
    <w:rsid w:val="00DF7B61"/>
    <w:rsid w:val="00E242E0"/>
    <w:rsid w:val="00E261E7"/>
    <w:rsid w:val="00E522D4"/>
    <w:rsid w:val="00EB4307"/>
    <w:rsid w:val="00F0665D"/>
    <w:rsid w:val="00F0766B"/>
    <w:rsid w:val="00F146B7"/>
    <w:rsid w:val="00F404B0"/>
    <w:rsid w:val="00F5192F"/>
    <w:rsid w:val="00FD2491"/>
    <w:rsid w:val="05DC76E9"/>
    <w:rsid w:val="0B2228D2"/>
    <w:rsid w:val="0E661CE3"/>
    <w:rsid w:val="115F715F"/>
    <w:rsid w:val="159533AE"/>
    <w:rsid w:val="15962BC0"/>
    <w:rsid w:val="160E552F"/>
    <w:rsid w:val="1AEC5ACE"/>
    <w:rsid w:val="1C4D4488"/>
    <w:rsid w:val="1E8D4F59"/>
    <w:rsid w:val="2BA45CB8"/>
    <w:rsid w:val="2C537D24"/>
    <w:rsid w:val="2D381260"/>
    <w:rsid w:val="2D4001A8"/>
    <w:rsid w:val="2E29250B"/>
    <w:rsid w:val="319006FB"/>
    <w:rsid w:val="31B47C77"/>
    <w:rsid w:val="360A6293"/>
    <w:rsid w:val="3783321D"/>
    <w:rsid w:val="3A363BA9"/>
    <w:rsid w:val="3A543584"/>
    <w:rsid w:val="3AE44506"/>
    <w:rsid w:val="3C7720BF"/>
    <w:rsid w:val="3D1878A4"/>
    <w:rsid w:val="42D16BF8"/>
    <w:rsid w:val="44C82677"/>
    <w:rsid w:val="4F367C45"/>
    <w:rsid w:val="53B6479A"/>
    <w:rsid w:val="57A27315"/>
    <w:rsid w:val="58281910"/>
    <w:rsid w:val="5A772246"/>
    <w:rsid w:val="60102099"/>
    <w:rsid w:val="65165FB2"/>
    <w:rsid w:val="655F75CD"/>
    <w:rsid w:val="74A33FCD"/>
    <w:rsid w:val="773546E4"/>
    <w:rsid w:val="7D611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itle"/>
    <w:basedOn w:val="1"/>
    <w:next w:val="3"/>
    <w:qFormat/>
    <w:uiPriority w:val="0"/>
    <w:pPr>
      <w:jc w:val="center"/>
      <w:outlineLvl w:val="0"/>
    </w:pPr>
    <w:rPr>
      <w:rFonts w:ascii="Arial" w:hAnsi="Arial"/>
      <w:b/>
      <w:sz w:val="3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1">
    <w:name w:val="样式1"/>
    <w:basedOn w:val="1"/>
    <w:link w:val="12"/>
    <w:qFormat/>
    <w:uiPriority w:val="0"/>
    <w:pPr>
      <w:widowControl/>
      <w:adjustRightInd w:val="0"/>
      <w:snapToGrid w:val="0"/>
      <w:ind w:firstLine="640"/>
      <w:contextualSpacing/>
    </w:pPr>
    <w:rPr>
      <w:rFonts w:hint="eastAsia" w:ascii="华文楷体" w:hAnsi="华文楷体" w:eastAsia="华文楷体"/>
      <w:sz w:val="32"/>
      <w:szCs w:val="32"/>
    </w:rPr>
  </w:style>
  <w:style w:type="character" w:customStyle="1" w:styleId="12">
    <w:name w:val="样式1 Char"/>
    <w:link w:val="11"/>
    <w:qFormat/>
    <w:uiPriority w:val="0"/>
    <w:rPr>
      <w:rFonts w:hint="eastAsia" w:ascii="华文楷体" w:hAnsi="华文楷体" w:eastAsia="华文楷体" w:cs="Times New Roman"/>
      <w:sz w:val="32"/>
      <w:szCs w:val="32"/>
    </w:rPr>
  </w:style>
  <w:style w:type="paragraph" w:customStyle="1" w:styleId="13">
    <w:name w:val="小标宋标题"/>
    <w:basedOn w:val="2"/>
    <w:next w:val="1"/>
    <w:qFormat/>
    <w:uiPriority w:val="0"/>
    <w:pPr>
      <w:spacing w:line="560" w:lineRule="exact"/>
    </w:pPr>
    <w:rPr>
      <w:rFonts w:hint="eastAsia" w:ascii="宋体" w:hAnsi="宋体" w:eastAsia="方正小标宋简体"/>
      <w:b w:val="0"/>
      <w:kern w:val="0"/>
      <w:sz w:val="44"/>
      <w:szCs w:val="44"/>
    </w:rPr>
  </w:style>
  <w:style w:type="paragraph" w:customStyle="1" w:styleId="14">
    <w:name w:val="样式2"/>
    <w:basedOn w:val="1"/>
    <w:next w:val="1"/>
    <w:qFormat/>
    <w:uiPriority w:val="0"/>
    <w:pPr>
      <w:spacing w:line="560" w:lineRule="exact"/>
      <w:ind w:firstLine="672" w:firstLineChars="200"/>
    </w:pP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style>
  <w:style w:type="paragraph" w:customStyle="1" w:styleId="15">
    <w:name w:val="公文正文"/>
    <w:basedOn w:val="1"/>
    <w:next w:val="1"/>
    <w:link w:val="16"/>
    <w:qFormat/>
    <w:uiPriority w:val="0"/>
    <w:pPr>
      <w:spacing w:line="560" w:lineRule="exact"/>
      <w:ind w:firstLine="672" w:firstLineChars="200"/>
    </w:pP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style>
  <w:style w:type="character" w:customStyle="1" w:styleId="16">
    <w:name w:val="公文正文 Char"/>
    <w:link w:val="15"/>
    <w:qFormat/>
    <w:uiPriority w:val="0"/>
    <w:rPr>
      <w:rFonts w:hint="eastAsia" w:ascii="仿宋_GB2312" w:hAnsi="仿宋_GB2312" w:eastAsia="仿宋_GB2312" w:cs="仿宋_GB2312"/>
      <w:color w:val="000000" w:themeColor="text1"/>
      <w:spacing w:val="0"/>
      <w:sz w:val="32"/>
      <w:szCs w:val="32"/>
      <w:shd w:val="clear" w:color="auto" w:fill="FFFFFF"/>
      <w14:textFill>
        <w14:solidFill>
          <w14:schemeClr w14:val="tx1"/>
        </w14:solidFill>
      </w14:textFill>
    </w:rPr>
  </w:style>
  <w:style w:type="character" w:customStyle="1" w:styleId="17">
    <w:name w:val="font91"/>
    <w:basedOn w:val="8"/>
    <w:qFormat/>
    <w:uiPriority w:val="0"/>
    <w:rPr>
      <w:rFonts w:hint="eastAsia" w:ascii="仿宋" w:hAnsi="仿宋" w:eastAsia="仿宋" w:cs="仿宋"/>
      <w:color w:val="FF0000"/>
      <w:sz w:val="28"/>
      <w:szCs w:val="28"/>
      <w:u w:val="none"/>
    </w:rPr>
  </w:style>
  <w:style w:type="character" w:customStyle="1" w:styleId="18">
    <w:name w:val="font21"/>
    <w:basedOn w:val="8"/>
    <w:qFormat/>
    <w:uiPriority w:val="0"/>
    <w:rPr>
      <w:rFonts w:hint="eastAsia" w:ascii="仿宋" w:hAnsi="仿宋" w:eastAsia="仿宋" w:cs="仿宋"/>
      <w:color w:val="000000"/>
      <w:sz w:val="28"/>
      <w:szCs w:val="28"/>
      <w:u w:val="none"/>
    </w:rPr>
  </w:style>
  <w:style w:type="character" w:customStyle="1" w:styleId="19">
    <w:name w:val="font112"/>
    <w:basedOn w:val="8"/>
    <w:qFormat/>
    <w:uiPriority w:val="0"/>
    <w:rPr>
      <w:rFonts w:hint="eastAsia" w:ascii="仿宋" w:hAnsi="仿宋" w:eastAsia="仿宋" w:cs="仿宋"/>
      <w:color w:val="0D0D0D"/>
      <w:sz w:val="28"/>
      <w:szCs w:val="28"/>
      <w:u w:val="none"/>
    </w:rPr>
  </w:style>
  <w:style w:type="character" w:customStyle="1" w:styleId="20">
    <w:name w:val="font61"/>
    <w:basedOn w:val="8"/>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77412-EAD3-4654-AACE-014433033B0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953</Words>
  <Characters>5433</Characters>
  <Lines>45</Lines>
  <Paragraphs>12</Paragraphs>
  <TotalTime>788</TotalTime>
  <ScaleCrop>false</ScaleCrop>
  <LinksUpToDate>false</LinksUpToDate>
  <CharactersWithSpaces>6374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2022-05-27T10:08:00Z</dcterms:created>
  <dc:creator>泰勒恩特</dc:creator>
  <cp:lastModifiedBy>keep moving</cp:lastModifiedBy>
  <cp:lastPrinted>2022-05-27T10:06:00Z</cp:lastPrinted>
  <dcterms:modified xsi:type="dcterms:W3CDTF">2022-06-22T23:24:45Z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3554F40F0879458FA5951D5BB0B86447</vt:lpwstr>
  </property>
</Properties>
</file>